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3"/>
      </w:tblGrid>
      <w:tr w:rsidR="00FE162C" w:rsidRPr="00FE162C" w:rsidTr="00FE162C">
        <w:trPr>
          <w:trHeight w:val="29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FE162C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:rsidR="00FE162C" w:rsidRPr="00FE162C" w:rsidRDefault="00FE162C" w:rsidP="00FE162C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FE162C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KLASIFIKACIJI OBJEKATA</w:t>
            </w:r>
          </w:p>
          <w:p w:rsidR="00FE162C" w:rsidRPr="00FE162C" w:rsidRDefault="00FE162C" w:rsidP="00FE162C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FE162C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RS", br. 22/2015)</w:t>
            </w:r>
          </w:p>
        </w:tc>
      </w:tr>
      <w:tr w:rsidR="00FE162C" w:rsidRPr="00FE162C" w:rsidTr="00FE162C">
        <w:trPr>
          <w:trHeight w:val="299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</w:p>
        </w:tc>
      </w:tr>
    </w:tbl>
    <w:p w:rsidR="00FE162C" w:rsidRPr="00FE162C" w:rsidRDefault="00FE162C" w:rsidP="00FE162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0" w:name="str_1"/>
      <w:bookmarkEnd w:id="0"/>
      <w:r w:rsidRPr="00FE162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Osnovne odredbe </w:t>
      </w:r>
    </w:p>
    <w:p w:rsidR="00FE162C" w:rsidRPr="00FE162C" w:rsidRDefault="00FE162C" w:rsidP="00FE16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1"/>
      <w:bookmarkEnd w:id="1"/>
      <w:r w:rsidRPr="00FE162C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Ovim pravilnikom propisuje se klasifikacija objekata prema nameni, funkcionalnim i strukturalnim karakteristikama i stepenu uticaja na okruženje, s obzirom na rizike vezane za izgradnju i eksploataciju. </w:t>
      </w:r>
    </w:p>
    <w:p w:rsidR="00FE162C" w:rsidRPr="00FE162C" w:rsidRDefault="00FE162C" w:rsidP="00FE16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2"/>
      <w:bookmarkEnd w:id="2"/>
      <w:r w:rsidRPr="00FE162C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Objekti, u smislu ovog pravilnika, su zgrade i inženjerski objekti.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Zgrada je objekat sa krovom i spoljnim zidovima, izgrađena kao samostalna upotrebna celina koja pruža zaštitu od vremenskih i spoljnih uticaja, a namenjena je za stanovanje, obavljanje neke delatnosti ili za smeštaj i čuvanje životinja, robe, opreme za različite proizvodne delatnosti i dr. Zgradama se smatraju i objekti koji imaju krov, ali nemaju zidove (nadstrešnica) kao i objekti koji su pretežno ili potpuno smešteni ispod površine zemlje (skloništa, podzemne garaže i sl.).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Inženjerski objekti su svi ostali objekti koji nisu zgrade: železnice, putevi, mostovi, aerodromske staze, cevovodi, komunikacioni i električni vodovi i dr. </w:t>
      </w:r>
    </w:p>
    <w:p w:rsidR="00FE162C" w:rsidRPr="00FE162C" w:rsidRDefault="00FE162C" w:rsidP="00FE16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3"/>
      <w:bookmarkEnd w:id="3"/>
      <w:r w:rsidRPr="00FE162C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Objekti se razvrstavaju u klase koje nose klasifikacioni broj prema tabeli iz člana 7. ovog pravilnika. </w:t>
      </w:r>
    </w:p>
    <w:p w:rsidR="00FE162C" w:rsidRPr="00FE162C" w:rsidRDefault="00FE162C" w:rsidP="00FE16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4"/>
      <w:bookmarkEnd w:id="4"/>
      <w:r w:rsidRPr="00FE162C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Površina objekta, za potrebe određivanja klase objekta, predstavlja ukupnu građevinsku bruto površinu obračunatu u skladu sa tačkom 4.3 SRPS.U.C2.100:2002, odnosno, zbir površina svih nadzemnih i podzemnih etaža objekta, merenih u nivou podova svih delova objekta u okviru spoljnih mera finalno obrađenih obodnih zidova.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Visina zgrada, za potrebe određivanja klase objekta, računa se od površine poda podruma ili druge najniže etaže u zgradi, do najviše kote objekta. </w:t>
      </w:r>
    </w:p>
    <w:p w:rsidR="00FE162C" w:rsidRPr="00FE162C" w:rsidRDefault="00FE162C" w:rsidP="00FE16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5"/>
      <w:bookmarkEnd w:id="5"/>
      <w:r w:rsidRPr="00FE162C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Objekti različitih klasa se, za potrebe definisanja sadržaja tehničke dokumentacije, razvrstavaju u sledeće kategorije: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A zgrade - nezahtevni objekti;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B zgrade - manje zahtevni objekti;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lastRenderedPageBreak/>
        <w:t xml:space="preserve">V zgrade - zahtevni objekti;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G inženjerski objekti.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Razvrstavanje objekata različitih klasa u kategorije se, prema nameni i stepenu složenosti, vrši prema tabeli iz člana 7. ovog pravilnika. </w:t>
      </w:r>
    </w:p>
    <w:p w:rsidR="00FE162C" w:rsidRPr="00FE162C" w:rsidRDefault="00FE162C" w:rsidP="00FE162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6" w:name="str_2"/>
      <w:bookmarkEnd w:id="6"/>
      <w:r w:rsidRPr="00FE162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Objekti koji se sastoje iz delova koji spadaju u različite klase i kategorije </w:t>
      </w:r>
    </w:p>
    <w:p w:rsidR="00FE162C" w:rsidRPr="00FE162C" w:rsidRDefault="00FE162C" w:rsidP="00FE16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6"/>
      <w:bookmarkEnd w:id="7"/>
      <w:r w:rsidRPr="00FE162C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Za složene objekte koji se sastoje od delova različite klase, svakom delu određuje se klasa i iskazuje procentualnom zastupljenošću u ukupnoj površini objekta.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Za zgrade koje se sastoje od više delova različite kategorije određuje se kategorija zgrade u celini, tako da joj se dodeljuje kategorija više zahtevnog dela.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Za objekte koji se sastoje od zgrade i inženjerskog objekta, odnosno dela objekta, svakom objektu, odnosno delu objekta, se određuje se posebna kategorija. </w:t>
      </w:r>
    </w:p>
    <w:p w:rsidR="00FE162C" w:rsidRPr="00FE162C" w:rsidRDefault="00FE162C" w:rsidP="00FE162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8" w:name="str_3"/>
      <w:bookmarkEnd w:id="8"/>
      <w:r w:rsidRPr="00FE162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Klasifikacija i kategorizacija objekata </w:t>
      </w:r>
    </w:p>
    <w:p w:rsidR="00FE162C" w:rsidRPr="00FE162C" w:rsidRDefault="00FE162C" w:rsidP="00FE16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7"/>
      <w:bookmarkEnd w:id="9"/>
      <w:r w:rsidRPr="00FE162C">
        <w:rPr>
          <w:rFonts w:ascii="Arial" w:eastAsia="Times New Roman" w:hAnsi="Arial" w:cs="Arial"/>
          <w:b/>
          <w:bCs/>
          <w:sz w:val="24"/>
          <w:szCs w:val="24"/>
        </w:rPr>
        <w:t xml:space="preserve">Član 7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Klase i kategorije objekata, u smislu ovog pravilnika, prikazane su u narednoj tabeli.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728"/>
        <w:gridCol w:w="3335"/>
        <w:gridCol w:w="1257"/>
        <w:gridCol w:w="993"/>
      </w:tblGrid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Naziv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Objašnjenje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Dodatni kriterijum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Klasifikacioni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Kategorija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10" w:name="str_4"/>
            <w:bookmarkEnd w:id="10"/>
            <w:r w:rsidRPr="00FE16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STAMBENE 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Stambene zgrade sa jednim stanom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Stambene zgrade sa jednim stanom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Izdvojene kuće za stanovanje ili povremeni boravak, kao što su porodične kuće, vile, vikendice, letnjikovci, planinske kolibe, lovačke kuće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P+1+Pk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111011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111012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111013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Kuće u nizu, spojene zidom, ili niz spojenih kuća na strmini (terasama), u kojima svaki stan ima svoj krov i svoj ulaz direktno iz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prizemlja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>Do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111021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111022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Stambene zgrade sa dva ili više stanova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Stambene zgrade sa dva stana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Stambene zgrade sa dva stana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Izdvojene kuće sa dva stana koji se koriste za stalno stanovanje ili povremeni boravak (za odmor i sl.)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P+1+Pk/PS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112111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112112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112113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Kuće u nizu, povezane zidom, ili niz kuća spojenih terasama (na strmini), sa dva stana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112121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112122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Stambene zgrade sa tri ili više stanova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Stambene zgrade sa tri ili više stanova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Izdvojene stambene zgrade sa tri stana, za stalno stanovanje ili za povremeni boravak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P+1+Pk/PS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112211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112212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112213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Izdvojene i ostale stambene zgrade sa više od tri stana, kao što su stambeni blokovi, kuće sa apartmanima i sl. u kojima su stanovi namenjeni za stalno stanovanje ili za povremeni boravak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112221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2.000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br/>
              <w:t xml:space="preserve">ili P+4+Pk (PS)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112222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Zgrade za stanovanje zajednica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stanovanje zajednica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zajedničko stanovanje, uključujući stanove sa potpunom uslugom održavanja i čišćenja za starije osobe, studente, decu i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druge društvene grupe, kao npr. domovi penzionera, ustanove i domove koji pružaju brigu za starije i hendikepirane osobe, radnička prenoćišta, studentske domove, sirotišta, prenoćišta uz zgrade internata, domove beskućnika, manastire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>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113001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113002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11" w:name="str_5"/>
            <w:bookmarkEnd w:id="11"/>
            <w:r w:rsidRPr="00FE16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NESTAMBENE 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Hoteli i slične 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Hoteli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Hoteli i moteli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Hoteli, moteli, gostionice sa sobama, pansioni i slične zgrade za noćenje gostiju, s restoranom ili bez njega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121111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br/>
              <w:t xml:space="preserve">ili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121112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Restorani, barovi i slične ugostiteljske zgrade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Zasebne zgrade restorana, barova, kantina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121113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121114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Ostale zgrade za kratkotrajni boravak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Ostale zgrade za kratkotrajni boravak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Prenoćišta za omladinu (hostele), planinarski domovi, dečiji i porodični kampovi, bungalovi za odmor, odmarališta, druge zgrade za odmor i noćenje izletnika koje nisu drugde razvrstane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121201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br/>
              <w:t xml:space="preserve">ili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121202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Poslovne 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Poslovne zgrade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koje se upotrebljavaju u poslovne svrhe, za administrativne i upravne svrhe (banke, pošte, poslovne zgrade lokalne uprave i državnih tela i dr)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122011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Konferencijski i kongresni centri, zgrade sudova i parlamenta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122021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P+2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122022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Zgrade za trgovinu na veliko i malo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trgovinu na veliko i malo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Trgovački centri, zgrade sa prodavnicama, robne kuće, izdvojene prodavnice, apoteke i butici, sajamske hale, prostori za aukcije i izložbe, zatvorene pijace, servisne stanice za motorna vozila itd.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123001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br/>
              <w:t xml:space="preserve">ili P+1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123002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Zgrade za saobraćaj i komunikacije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Zgrade za komunikacije, stanice, terminali i slične 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drumskog saobraćaja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s pripadajućim instalacijama i uređajima u njima na autobuskim stanicama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železničkog saobraćaja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s pripadajućim instalacijama i uređajima u njima na železničkim stanicama, na stanicama žičara, sedećih žičara, itd.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Signalne (skretničarske) kućice, spremišta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(remize) za lokomotive i vagone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Zgrade vazdušnog saobraćaja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s pripadajućim instalacijama i uređajima u njima na civilnim i vojnim aerodromima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Hangari za avione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kontrolu letenja (kontrolni tornjevi)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vodenog saobraćaja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s pripadajućim instalacijama i uređajima u njima na lučkim terminalima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Svetionici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pošta i telekomunikacija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poštanskog prometa, telefonske centrale, telekomunikacijski centri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Telefonske govornice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televizijsko i radio emitovanje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televizijsko i radio emitovanje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Ostale zgrade za saobraćaj i komunikacije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124170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Garaže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Garaže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Samostalne zgrade garaža (nadzemne i podzemne) i parkirališta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Ostave za bicikle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124220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Industrijske zgrade i skladišta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Industrijske 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Industrijske zgrade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Natkrivene zgrade koje se upotrebljavaju za industrijsku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proizvodnju, npr. fabrike, radionice, klanice, pivare, hale za montažu itd.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>radionice do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radionice preko 400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sve osim radionica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Rezervoari, silosi i skladišta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Rezervoari i silosi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Rezervoari i cisterne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125211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Rezervoari za naftu i gas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125212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Silosi za cement i druge suve agregate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125213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Zatvorena skladišta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Specijalizovana skladišta zatvorena s najmanje tri strane zidovima ili pregradama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1.500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P+1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125221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1.500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P+1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125222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Hladnjače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125223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Natkrivena skladišta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Stalno natkrivena skladišta (s krovom) na otvorenom, s manje od tri zida ili bez zidova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1.500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Više od 1.500 m²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125232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Zgrade za kulturno-umetničku delatnost i zabavu, obrazovanje, bolnice i ostale zgrade za zdravstvenu zaštitu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Zgrade za kulturno-umetničku delatnost i zabavu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kulturno-umetničku delatnost i zabavu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Bioskopi, koncertne dvorane, operske kuće, pozorišta, itd.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Dvorane za sastanke i višenamenske dvorane koje se uglavnom upotrebljavaju za kulturno-umetničku delatnost i zabavu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Kazina, cirkusi, muzičke i plesne dvorane, plesne amaterske škole, diskoteke, paviljoni za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promenadne koncerte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u zoološkim vrtovima i botaničkim baštama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126104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Muzeji i biblioteke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Muzeji i biblioteke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Muzeji, umetničke galerije, biblioteke, informaciono-dokumentarni centri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čuvanje arhivske građe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Školske zgrade i zgrade za naučnoistraživačke delatnosti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dečjih vrtića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u kojima se obavlja predškolsko obrazovanje (jaslice, vrtići)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126310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osnovnih škola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osnovno obrazovanje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126321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specijalnih škola za hendikepiranu decu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126322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srednjih i ostalih škola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srednjih škola (npr. gimnazije, tehničke i srodne škole, industrijske i druge stručne škole)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126331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Neprofesionalne vozačke škole za motorna vozila, za obuku letenja i upravljanje plovnim objektima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126332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Škole za obrazovanje odraslih i škole kojima se ne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može odrediti obrazovni stepen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126333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Zgrade fakulteta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univerziteta, fakulteta, umetničkih akademija, visokih i viših škola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126340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naučnoistraživačku delatnost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koje se koriste za naučno istraživanje, istraživačke laboratorije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126351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Meteorološke stanice, zgrade opservatorija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126352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Bolnice i ostale zgrade za zdravstvenu zaštitu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bolnica i klinika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opštih i specijalnih bolnica i klinika u kojima se pruža medicinsko i hirurško lečenje i nega bolesnih i povređenih osoba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126411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Sanatorijumi i druge bolnice za duži oporavak i negu bolesnika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126412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Psihijatrijske bolnice, porodilišta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126413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Univerzitetske bolnice, bolnice za osobe na prevaspitanju, zatvorenike i vojnike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126414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bolnica i lečilišta koje se koriste za termalno lečenje, talasoterapiju i funkcionalnu rehabilitaciju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126415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Ustanove sa kombinovanom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uslugom smeštaja, ishrane, nege i lečenja za starije osobe ili hendikepirana lica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126416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Ostale zgrade za zdravstvenu zaštitu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domova zdravlja, zdravstvenih stanica, stanica za hitnu pomoć, poliklinike i lekarske ordinacije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126421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Centri za transfuziju krvi, za prikupljanje majčinog mleka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126422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Centri za zaštitu majki i dece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126423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veterinarsko lečenje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veterinarskih stanica, bolnica i privatnih ordinacija za lečenje životinja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126430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Sportske dvorane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Sportske dvorane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sportove koji se održavaju u zatvorenom prostoru (košarkaška i teniska igrališta, plivališta, gimnastičke dvorane, hokej itd.)i koje imaju prostore za gledaoce (tribine, podeste, terase itd.) kao i za učesnike (tuševe, garderobe itd.)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126500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Ostale nestambene 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Poljoprivredne 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Staje za stoku i živinarnici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Staje za krave, ovce i koze, konjušnice, svinjci, štenare i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zgrade za uzgoj dr. životinja, industrijski i ostali živinarnici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>Do 600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visine do 25 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visine preko 25 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Zgrade za uzgoj, proizvodnju i smeštaj poljoprivrednih proizvoda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čuvanje i uzgoj poljoprivrednih proizvoda npr skladišta za poljoprivredne proizvode, ambari, koševi, trapovi, staklenici, vinarije, vinski podrumi i dr.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600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visine do 25 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visine preko 25 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Poljoprivredni silosi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Silosi za potrebe poljoprivredne proizvodnje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visine od 25 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visine preko 25 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Ostale poljoprivredne zgrade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Garaže, hangari i druge zgrade za smeštaj poljoprivrednih mašina i alata, kao i ostale poljoprivredne pomoćne 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600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4.000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 visine do 25 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4.000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  <w:r w:rsidRPr="00FE162C">
              <w:rPr>
                <w:rFonts w:ascii="Arial" w:eastAsia="Times New Roman" w:hAnsi="Arial" w:cs="Arial"/>
              </w:rPr>
              <w:t xml:space="preserve"> ili visine preko 25m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127143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Zgrade za obavljanje verskih i drugih obreda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za obavljanje verskih obreda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Crkve, kapele, džamije, sinagoge, katedrale itd.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Zgrade na grobljima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Mrtvačnice, krematorijumi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127221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prostorije za ispraćaj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do 200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127222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preko 200 m</w:t>
            </w:r>
            <w:r w:rsidRPr="00FE162C">
              <w:rPr>
                <w:rFonts w:ascii="Arial" w:eastAsia="Times New Roman" w:hAnsi="Arial" w:cs="Arial"/>
                <w:sz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127223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Ostale građevine na grobljima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Grobnice sa spomenicima ili bez spomenika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127230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Istorijski ili zaštićeni spomenici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Istorijski ili zaštićeni spomenici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Istorijske ili zaštićene zgrade, bilo koje vrste, koje se ne koriste u druge svrhe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Zaštićene ruševine, arheološke iskopine i preistorijska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nalazišta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127302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Kipovi, komemorativne, umetničke i dekorativne građevine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127303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Ostale zgrade, drugde neklasifikovane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1274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Kasarne i ostale zgrade za vojsku, policiju ili vatrogasce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Zatvori, kaznenopravni centri i sl.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127410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Ostale zgrade, drugde neklasifikovane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Nastrešnice na autobuskim stanicama, javni klozeti, perionice itd.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127420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 OSTALE GRAĐEVINE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12" w:name="str_6"/>
            <w:bookmarkEnd w:id="12"/>
            <w:r w:rsidRPr="00FE16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SAOBRAĆAJNA INFRASTRUKTURA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Autoputevi, putevi i ulice (za saobraćaj motornih vozila)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Autoputevi i ostali putevi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Autoputevi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Putevi koji su izgrađeni i namenjeni isključivo za saobraćaj motornih vozila, imaju najmanje četiri saobraćajne trake tj. Po dve za svaki smer vožnje, fizički odvojene (širine najmanje 3,25 m) i po jednu traku za zaustavljanje vozila u nuždi, bez ukrštanja sa poprečnim putevima i prugom u istom nivou.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211111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Sve potrebne instalacije (rasveta, signalizacija) koje omogućuju sigurno odvijanje saobraćaja i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parkiranja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211112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Ostali putevi (za saobraćaj motornih vozila)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Putevi sa najmanje dve saobraćajne trake širine 3 m, kojima je omogućen siguran saobraćajni tok vozila brzinom od najmanje 60 km-h, po kojima se smeju kretati samo motorna vozila, uključujući i raskrsnice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211121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Sve potrebne instalacije (rasveta, signalizacija) koje omogućuju sigurno odvijanje saobraćaja i parkiranja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211122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Ostali putevi i ulice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Ostali putevi i ulice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Ulice i putevi unutar gradova i ostalih naselja, seoski i šumski putevi i putevi na kojima se odvija saobraćaj motornih vozila, bicikala i zaprežnih vozila, uključujući raskrsnice, obilaznice i kružne tokove, otvorena parkirališta, pešačke staze i zone, trgovi, biciklističke i jahačke staze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211201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Sve potrebne instalacije (rasveta, signalizacija) koje omogućuju sigurno odvijanje saobraćaja i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parkiranja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211202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Železničke pruge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Međumesne železničke pruge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Međumesne železničke pruge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Glavne železničke pruge javnog saobraćaja i sporedni koloseci (uključujući gornji i donji stroj pruge), železničke stanice, železnički prelazi i raskrsnice i pruge u ranžiranim stanicama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212101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Sva potrebna železnička infrastruktura koja omogućava sigurno odvijanje saobraćaja (instalacije za rasvetu, signalizaciju, sigurnost i elektrifikaciju)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212102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Gradske železničke pruge</w:t>
            </w:r>
            <w:r w:rsidRPr="00FE162C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Gradske železničke pruge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Gradska i prigradska mreža železnice odvojena od ostalog saobraćaja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212211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Gradska podzemna železnica, nadzemna železnica, žičana železnica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212212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Instalacije za rasvetu, signalizaciju, sigurnost i elektrifikaciju pruga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212213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Tramvajske pruge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Tramvajske pruge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212221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Instalacije za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rasvetu, signalizaciju, sigurnost i elektrifikaciju pruga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212222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Aerodromske staze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Aerodromske staze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Aerodromske staze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Staze za poletanje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213001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Instalacije za rasvetu, signalizaciju, sigurnost prometa pista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213002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Mostovi, vijadukti, tuneli i podzemni prolazi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Mostovi i vijadukti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Mostovi i vijadukti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Drumski i železnički mostovi (metalni, armirano betonski ili od dr. materijala) i vijadukti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214101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Instalacije za rasvetu, signalizaciju i sigurnost prometa na mostovima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214102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Pokretni mostovi, seoski i šumski mostovi sa šinama, pešački mostovi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214103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Tuneli i podzemni prolazi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Tuneli i podzemni prolazi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Drumski i železnički tuneli, galerije i podzemni prolazi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214201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Pešački podzemni prolazi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214202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Instalacije za rasvetu, signalizaciju i sigurnost prometa u tunelima i prolazima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214203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Luke, plovni kanali, brane i ostali hidrograđevinski objekti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Luke i plovni kanali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Pomorske i rečne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luke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Pomorske i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rečne luke (pristaništa, dokovi, gatovi, molovi, itd.)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215111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Vojna pristaništa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215112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Dokovi (navozi) u brodogradilištima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215113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Plovni kanali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Plovni kanali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215120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Građevine na rekama i kanalima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Građevine na rekama i kanalima (ustavi, mostovi i tuneli na kanalima), izgrađene obale i putevi za tegljenje uz obalu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215130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Brane i nasipi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Brane i nasipi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Brane i slične konstrukcije za zadržavanje vode za bilo koju namenu: za potrebe hidroelektrana, navodnjavanje, regulaciju vodotoka, zaštitu od poplava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215201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Nasipi, građevine za zaštitu obala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215202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Akvadukti, hidrograđevinski objekti za odvodnjavanje i navodnjavanje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2153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Akvadukti, hidrograđevinski objekti za odvodnjavanje i navodnjavanje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Kanali za navodnjavanje i druge građevine za snabdevanje vodom radi kultivisanja zemljišta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215301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Akvadukti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215302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Drenaže, otvorene jame za odvođenje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215303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13" w:name="str_7"/>
            <w:bookmarkEnd w:id="13"/>
            <w:r w:rsidRPr="00FE16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CEVOVODI, KOMUNIKACIONI I ELEKTRIČNI VODOVI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Međumesni (daljinski) cevovodi, komunikacioni i električni </w:t>
            </w:r>
            <w:r w:rsidRPr="00FE162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vodovi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221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Međumesni (daljinski) naftovodi i gasovodi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2211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Međumesni (daljinski) naftovodi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Međumesni nadzemni, podzemni ili podmorski cevovodi za transport sirove nafte i naftnih proizvoda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Crpne stanice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Međumesni (daljinski) gasovodi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Međumesni nadzemni, podzemni ili pomorski cevovodi za transport gasa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Crpne stanice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Međumesni (daljinski) cevovodi za hemijske i druge proizvode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Međumesni nadzemni, podzemni ili podmorski cevovodi za hemijske i druge proizvode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Međumesni (daljinski) vodovodi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2212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Međumesni (daljinski) vodovodi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Međumesni nadzemni, podzemni ili podmorski vodovod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Ostale građevine uz međumesne vodovode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Vodozahvati, građevine (uređaji) za čišćenje vode i crpne stanice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221220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Međumesni telekomunikacioni vodovi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2213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Međumesni telekomunikacioni vodovodi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>Međumesni nadzemni, podzemni ili podmorski telekomunikacioni vodovi, relejni sistemi, radio i televizijske ili kablovske mreže, relejni tornjevi, telekomunikacioni stubovi i infrastruktura za radiokomunikacij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Dalekovodi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2214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Dalekovodi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Međumesni nadzemni ili podzemni vodovi za distribuciju električne energije visokog ili srednjeg napona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221411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Stubovi dalekovoda (piloni)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221412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Transformatorske stanice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Transformatorske stanice i podstanice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221420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Lokalni cevovodi i vodovi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Lokalna mreža gasovoda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2221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Lokalna mreža gasovoda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Lokalni nadzemni ili podzemni cevovodi za distribuciju gasa (van zgrada)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Lokalni vodovodi, parovodi i toplovodi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2222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Lokalni vodovodi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Lokalni cevovodi za distribuciju vode (mreža van zgrada)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Ostale građevine u lokalnoj vodovodnoj mreži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Vodotornjevi i drugi rezervoari za vodu, izvorišta, fontane (česme), hidranti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222220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Parovodi i toplovodi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Lokalni cevovodi za toplu vodu, paru ili kompromovani vazduh (cevi van zgrada)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222230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Kanalizaciona mreža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2223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Javna kanalizaciona mreža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Spoljna kanalizaciona mreža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222311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Kanalizacioni kolektori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222312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Ostala kanalizaciona mreža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Spoljni kanalizacioni kanali i kolektori koji nisu u sklopu javne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kanalizacije, npr. u bolničkom ili fabričkom okrugu, turističkim naseljima itd.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222320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Objekti za prikupljanje i prečišćavanje otpadnih voda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Građevine s odgovarajućim uređajima za prečišćenje otpadnih voda ili bez njih (npr. sabirne jame, taložnice, separatori ulja, septičke jame)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Lokalni, električni i telekomunikacioni vodovi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2224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Lokalni električni vodovi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Lokalni električni nadzemni ili podzemni vodovi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222410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Lokalne transformatorske stanice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Transformatorske stanice i podstanice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Lokalni telekomunikacioni vodovi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Lokalni telekomunikacioni vodovi, nadzemni ili podzemni, kao i pomoćne instalacije (telegrafski stubovi itd)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222431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Lokalni televizijski kablovi i zajedničke antene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222432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14" w:name="str_8"/>
            <w:bookmarkEnd w:id="14"/>
            <w:r w:rsidRPr="00FE16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SLOŽENE INDUSTRIJSKE GRAĐEVINE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Složeni industrijski objekti i postrojenja (elektrane, rafinerije itd.) koji nisu zgrade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Građevine za rudarstvo i vađenje nafte i gasa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Građevine za rudarstvo i vađenje nafte i gasa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Objekti i postrojenje za rudarstvo, vađenje ugljovodonika, kamenolomi, eksploatacija šljunka itd. (npr. stanice za utovar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i istovar, tornjevi za provetravanje itd.)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230101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Objekti za proizvodnju gipsa, cementa, cigle i crepa itd.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230102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Elektrane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2302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Elektrane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Objekti i oprema za proizvodnju električne energije npr. hidroelektrane, termoelektrane za ugalj, nuklearne elektrane, elektrane na vetar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230201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Objekti i postrojenja za obradu i preradu nuklearnog materijala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230202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Peći za spaljivanje otpadaka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230203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Građevine i postrojenja za hemijsku industriju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2303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Građevine i postrojenja za hemijsku industriju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Građevinski objekti i postrojenja u hemijskoj industriji, petrohemijska postrojenja ili rafinerije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230301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Terminali za ugljovodonike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230302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Koksare i plinare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230303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Objekti i postrojenja u teškoj industriji, drugde neklasifikovani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2304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Objekti i postrojenja u teškoj industriji, drugde neklasifikovani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Objekti i instalacije u teškoj industriji, kao što su visoke peći, valjaonice čelika, livnice itd.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230400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15" w:name="str_9"/>
            <w:bookmarkEnd w:id="15"/>
            <w:r w:rsidRPr="00FE16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OSTALE NEPOMENUTE GRAĐEVINE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Građevine za sport i rekreaciju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lastRenderedPageBreak/>
              <w:t xml:space="preserve">Sportski tereni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2411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Sportski tereni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Tereni i pripadajući objekti (osim zgrada) namenjeni za sportove koji se održavaju na otvorenom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241100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Ostale građevine za sport i rekreaciju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2412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Pristaništa u marinama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241210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Ostale građevine za sport i rekreaciju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Zabavni parkovi, kao i dr. građevine na otvorenom, uključujući i građevine na brdskim terenima (skijaške staze i liftovi, sedeće žičare itd.), igrališta za golf, sportska uzletišta, hipodromi, objekti koji se pretežno koriste za vodene sportove, oprema na plažama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241221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Javni vrtovi i parkovi, ZOO vrtovi i botaničke bašte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241222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Ostale građevine (osim zgrada) drugde neklasifikovane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 xml:space="preserve">242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Ostale građevine (osim zgrada) drugde neklasifikovane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Vojni objekti (utvrđenja, stražare, bunkeri, strelišta, centri za vojno testiranje)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242001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Objekti drugde neklasifikovani, uključujući mesta za lansiranje satelita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242002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  <w:tr w:rsidR="00FE162C" w:rsidRPr="00FE162C" w:rsidTr="00FE162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162C" w:rsidRPr="00FE162C" w:rsidRDefault="00FE162C" w:rsidP="00FE162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Odlagalište smeća </w:t>
            </w:r>
            <w:r w:rsidRPr="00FE162C">
              <w:rPr>
                <w:rFonts w:ascii="Arial" w:eastAsia="Times New Roman" w:hAnsi="Arial" w:cs="Arial"/>
              </w:rPr>
              <w:lastRenderedPageBreak/>
              <w:t xml:space="preserve">(deponije)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242003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62C" w:rsidRPr="00FE162C" w:rsidRDefault="00FE162C" w:rsidP="00FE16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FE162C">
              <w:rPr>
                <w:rFonts w:ascii="Arial" w:eastAsia="Times New Roman" w:hAnsi="Arial" w:cs="Arial"/>
              </w:rPr>
              <w:t xml:space="preserve">G </w:t>
            </w:r>
          </w:p>
        </w:tc>
      </w:tr>
    </w:tbl>
    <w:p w:rsidR="00FE162C" w:rsidRPr="00FE162C" w:rsidRDefault="00FE162C" w:rsidP="00FE162C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16" w:name="str_10"/>
      <w:bookmarkEnd w:id="16"/>
      <w:r w:rsidRPr="00FE162C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 xml:space="preserve">Završna odredba </w:t>
      </w:r>
    </w:p>
    <w:p w:rsidR="00FE162C" w:rsidRPr="00FE162C" w:rsidRDefault="00FE162C" w:rsidP="00FE162C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clan_8"/>
      <w:bookmarkEnd w:id="17"/>
      <w:r w:rsidRPr="00FE162C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:rsidR="00FE162C" w:rsidRPr="00FE162C" w:rsidRDefault="00FE162C" w:rsidP="00FE162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E162C">
        <w:rPr>
          <w:rFonts w:ascii="Arial" w:eastAsia="Times New Roman" w:hAnsi="Arial" w:cs="Arial"/>
        </w:rPr>
        <w:t xml:space="preserve">Ovaj pravilnik stupa na snagu narednog dana od dana objavljivanja u "Službenom glasniku Republike Srbije". </w:t>
      </w:r>
    </w:p>
    <w:p w:rsidR="00D44132" w:rsidRDefault="00D44132"/>
    <w:sectPr w:rsidR="00D44132" w:rsidSect="00F60F68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162C"/>
    <w:rsid w:val="00BA0A3B"/>
    <w:rsid w:val="00D44132"/>
    <w:rsid w:val="00F60F68"/>
    <w:rsid w:val="00FE162C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32"/>
  </w:style>
  <w:style w:type="paragraph" w:styleId="Heading6">
    <w:name w:val="heading 6"/>
    <w:basedOn w:val="Normal"/>
    <w:link w:val="Heading6Char"/>
    <w:uiPriority w:val="9"/>
    <w:qFormat/>
    <w:rsid w:val="00FE16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E162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FE162C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E162C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FE162C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FE162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FE162C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FE162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FE162C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FE162C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0">
    <w:name w:val="normal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FE162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FE162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FE162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FE162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FE162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FE162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FE162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FE162C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FE162C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FE162C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FE162C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FE162C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FE162C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FE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FE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FE162C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FE162C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FE162C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FE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FE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FE16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FE162C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FE162C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FE162C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FE162C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FE162C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FE162C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FE162C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FE162C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FE162C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FE162C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FE162C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FE162C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FE162C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FE162C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FE162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FE162C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FE162C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FE162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FE162C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FE162C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FE162C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FE162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FE162C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FE162C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FE162C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FE162C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FE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FE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FE162C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FE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FE162C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FE16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FE162C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FE162C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FE162C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FE162C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FE162C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FE162C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FE162C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FE162C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FE162C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FE162C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FE162C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character" w:customStyle="1" w:styleId="stepen1">
    <w:name w:val="stepen1"/>
    <w:basedOn w:val="DefaultParagraphFont"/>
    <w:rsid w:val="00FE162C"/>
    <w:rPr>
      <w:sz w:val="15"/>
      <w:szCs w:val="15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3598</Words>
  <Characters>20514</Characters>
  <Application>Microsoft Office Word</Application>
  <DocSecurity>0</DocSecurity>
  <Lines>170</Lines>
  <Paragraphs>48</Paragraphs>
  <ScaleCrop>false</ScaleCrop>
  <Company>Gradska opština Vračar</Company>
  <LinksUpToDate>false</LinksUpToDate>
  <CharactersWithSpaces>24064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Opština Vračar</dc:creator>
  <cp:lastModifiedBy>Opština Vračar</cp:lastModifiedBy>
  <cp:revision>1</cp:revision>
  <dcterms:created xsi:type="dcterms:W3CDTF">2015-03-05T13:46:00Z</dcterms:created>
  <dcterms:modified xsi:type="dcterms:W3CDTF">2015-03-05T13:46:00Z</dcterms:modified>
</cp:coreProperties>
</file>