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2" w:rsidRDefault="00672033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574E32" w:rsidRDefault="00672033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574E32" w:rsidRDefault="00672033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574E32" w:rsidRDefault="00672033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</w:t>
      </w:r>
      <w:r>
        <w:rPr>
          <w:b/>
          <w:bCs/>
          <w:lang w:val="en-US"/>
        </w:rPr>
        <w:t>0</w:t>
      </w:r>
      <w:r>
        <w:rPr>
          <w:b/>
          <w:bCs/>
        </w:rPr>
        <w:t>-</w:t>
      </w:r>
      <w:r w:rsidR="00421F02">
        <w:rPr>
          <w:b/>
          <w:bCs/>
        </w:rPr>
        <w:t>4</w:t>
      </w:r>
      <w:r w:rsidR="00E62A7A">
        <w:rPr>
          <w:b/>
          <w:bCs/>
        </w:rPr>
        <w:t>7</w:t>
      </w:r>
      <w:r>
        <w:rPr>
          <w:b/>
          <w:bCs/>
        </w:rPr>
        <w:t>/20</w:t>
      </w:r>
      <w:r>
        <w:rPr>
          <w:b/>
          <w:bCs/>
          <w:lang w:val="en-US"/>
        </w:rPr>
        <w:t>1</w:t>
      </w:r>
      <w:r>
        <w:rPr>
          <w:b/>
          <w:bCs/>
        </w:rPr>
        <w:t>6-04</w:t>
      </w:r>
    </w:p>
    <w:p w:rsidR="00574E32" w:rsidRDefault="00672033">
      <w:pPr>
        <w:jc w:val="both"/>
      </w:pPr>
      <w:r>
        <w:rPr>
          <w:b/>
          <w:bCs/>
        </w:rPr>
        <w:t>ROP-HAN-8</w:t>
      </w:r>
      <w:r w:rsidR="00E62A7A">
        <w:rPr>
          <w:b/>
          <w:bCs/>
        </w:rPr>
        <w:t>086</w:t>
      </w:r>
      <w:r>
        <w:rPr>
          <w:b/>
          <w:bCs/>
        </w:rPr>
        <w:t>-LOCH-</w:t>
      </w:r>
      <w:r w:rsidR="00E62A7A">
        <w:rPr>
          <w:b/>
          <w:bCs/>
        </w:rPr>
        <w:t>2</w:t>
      </w:r>
      <w:r>
        <w:rPr>
          <w:b/>
          <w:bCs/>
        </w:rPr>
        <w:t>/2016</w:t>
      </w:r>
    </w:p>
    <w:p w:rsidR="00574E32" w:rsidRDefault="00E62A7A">
      <w:pPr>
        <w:jc w:val="both"/>
      </w:pPr>
      <w:r>
        <w:rPr>
          <w:b/>
          <w:bCs/>
        </w:rPr>
        <w:t>13</w:t>
      </w:r>
      <w:r w:rsidR="00672033">
        <w:rPr>
          <w:b/>
          <w:bCs/>
          <w:lang w:val="en-US"/>
        </w:rPr>
        <w:t>.</w:t>
      </w:r>
      <w:r w:rsidR="00672033">
        <w:rPr>
          <w:b/>
          <w:bCs/>
        </w:rPr>
        <w:t>0</w:t>
      </w:r>
      <w:r>
        <w:rPr>
          <w:b/>
          <w:bCs/>
        </w:rPr>
        <w:t>6</w:t>
      </w:r>
      <w:r w:rsidR="00672033">
        <w:rPr>
          <w:b/>
          <w:bCs/>
          <w:lang w:val="en-US"/>
        </w:rPr>
        <w:t>.201</w:t>
      </w:r>
      <w:r w:rsidR="00672033">
        <w:rPr>
          <w:b/>
          <w:bCs/>
        </w:rPr>
        <w:t>6.године</w:t>
      </w:r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jc w:val="both"/>
      </w:pPr>
    </w:p>
    <w:p w:rsidR="00574E32" w:rsidRDefault="00672033">
      <w:pPr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62A7A"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 </w:t>
      </w:r>
      <w:r w:rsidR="00E62A7A">
        <w:rPr>
          <w:lang w:val="sr-Cyrl-CS"/>
        </w:rPr>
        <w:t xml:space="preserve">Грађевинско архитектонски биро „Најинжењеринг“ Сурдулица, ул. Српских владара бб, МБ </w:t>
      </w:r>
      <w:r w:rsidR="00AF135E" w:rsidRPr="00AF135E">
        <w:rPr>
          <w:highlight w:val="black"/>
          <w:lang w:val="sr-Cyrl-CS"/>
        </w:rPr>
        <w:t>хххххх</w:t>
      </w:r>
      <w:r w:rsidR="00E62A7A">
        <w:rPr>
          <w:lang w:val="sr-Cyrl-CS"/>
        </w:rPr>
        <w:t xml:space="preserve">, ПИБ </w:t>
      </w:r>
      <w:r w:rsidR="00AF135E" w:rsidRPr="00AF135E">
        <w:rPr>
          <w:highlight w:val="black"/>
          <w:lang w:val="sr-Cyrl-CS"/>
        </w:rPr>
        <w:t>ххххх</w:t>
      </w:r>
      <w:r w:rsidR="00E62A7A">
        <w:rPr>
          <w:lang w:val="sr-Cyrl-CS"/>
        </w:rPr>
        <w:t>, чији је законски заступник Велимир Најдановић,</w:t>
      </w:r>
      <w:r w:rsidR="00E62A7A" w:rsidRPr="005278E5">
        <w:t xml:space="preserve"> </w:t>
      </w:r>
      <w:proofErr w:type="spellStart"/>
      <w:r w:rsidR="00E62A7A">
        <w:t>ул</w:t>
      </w:r>
      <w:proofErr w:type="spellEnd"/>
      <w:r w:rsidR="00E62A7A">
        <w:t xml:space="preserve">. </w:t>
      </w:r>
      <w:proofErr w:type="spellStart"/>
      <w:proofErr w:type="gramStart"/>
      <w:r w:rsidR="00E62A7A">
        <w:t>Дринске</w:t>
      </w:r>
      <w:proofErr w:type="spellEnd"/>
      <w:r w:rsidR="00E62A7A">
        <w:t xml:space="preserve"> </w:t>
      </w:r>
      <w:proofErr w:type="spellStart"/>
      <w:r w:rsidR="00E62A7A">
        <w:t>дивизије</w:t>
      </w:r>
      <w:proofErr w:type="spellEnd"/>
      <w:r w:rsidR="00E62A7A">
        <w:t xml:space="preserve"> </w:t>
      </w:r>
      <w:proofErr w:type="spellStart"/>
      <w:r w:rsidR="00E62A7A">
        <w:t>број</w:t>
      </w:r>
      <w:proofErr w:type="spellEnd"/>
      <w:r w:rsidR="00E62A7A">
        <w:t xml:space="preserve"> 4/7</w:t>
      </w:r>
      <w:r w:rsidR="00E62A7A">
        <w:rPr>
          <w:lang w:val="sr-Cyrl-CS"/>
        </w:rPr>
        <w:t xml:space="preserve">, Сурдулица ЈМБГ </w:t>
      </w:r>
      <w:r w:rsidR="00AF135E" w:rsidRPr="00AF135E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а у име Цветковић Владице из села Прекодолце, Владичин Хан ЈМБГ </w:t>
      </w:r>
      <w:r w:rsidR="00AF135E" w:rsidRPr="00AF135E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</w:t>
      </w:r>
      <w:proofErr w:type="gramEnd"/>
      <w:r>
        <w:t xml:space="preserve">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22/2010), </w:t>
      </w:r>
      <w:proofErr w:type="spellStart"/>
      <w:r>
        <w:t>издаје</w:t>
      </w:r>
      <w:proofErr w:type="spellEnd"/>
    </w:p>
    <w:p w:rsidR="00574E32" w:rsidRDefault="00574E32">
      <w:pPr>
        <w:jc w:val="both"/>
      </w:pPr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proofErr w:type="gramStart"/>
      <w:r>
        <w:rPr>
          <w:b/>
        </w:rPr>
        <w:t>ЛОКАЦИЈСКЕ  УСЛОВЕ</w:t>
      </w:r>
      <w:proofErr w:type="gramEnd"/>
    </w:p>
    <w:p w:rsidR="00574E32" w:rsidRDefault="00574E32"/>
    <w:p w:rsidR="00574E32" w:rsidRDefault="00E62A7A">
      <w:pPr>
        <w:ind w:firstLine="720"/>
        <w:jc w:val="both"/>
      </w:pPr>
      <w:r w:rsidRPr="008263AF">
        <w:rPr>
          <w:b/>
          <w:lang w:val="sr-Cyrl-CS"/>
        </w:rPr>
        <w:t>за из</w:t>
      </w:r>
      <w:r>
        <w:rPr>
          <w:b/>
          <w:lang w:val="sr-Cyrl-CS"/>
        </w:rPr>
        <w:t>градњу</w:t>
      </w:r>
      <w:r w:rsidRPr="008263AF">
        <w:rPr>
          <w:b/>
          <w:lang w:val="sr-Cyrl-CS"/>
        </w:rPr>
        <w:t xml:space="preserve"> </w:t>
      </w:r>
      <w:proofErr w:type="spellStart"/>
      <w:r w:rsidR="00672033">
        <w:rPr>
          <w:b/>
        </w:rPr>
        <w:t>пословно</w:t>
      </w:r>
      <w:proofErr w:type="spellEnd"/>
      <w:r w:rsidR="00672033">
        <w:rPr>
          <w:b/>
        </w:rPr>
        <w:t xml:space="preserve"> </w:t>
      </w:r>
      <w:proofErr w:type="spellStart"/>
      <w:r w:rsidR="00672033">
        <w:rPr>
          <w:b/>
        </w:rPr>
        <w:t>производног</w:t>
      </w:r>
      <w:proofErr w:type="spellEnd"/>
      <w:r>
        <w:rPr>
          <w:b/>
          <w:lang w:val="sr-Cyrl-CS"/>
        </w:rPr>
        <w:t xml:space="preserve"> објекта за производњу школског намештаја </w:t>
      </w:r>
      <w:r w:rsidRPr="008263AF">
        <w:rPr>
          <w:b/>
          <w:lang w:val="sr-Cyrl-CS"/>
        </w:rPr>
        <w:t>на кп.бр.</w:t>
      </w:r>
      <w:r>
        <w:rPr>
          <w:lang w:val="sr-Cyrl-CS"/>
        </w:rPr>
        <w:t xml:space="preserve"> </w:t>
      </w:r>
      <w:r w:rsidRPr="00F96CA9">
        <w:rPr>
          <w:b/>
          <w:lang w:val="sr-Cyrl-CS"/>
        </w:rPr>
        <w:t>586/2,586/3 и 580/2</w:t>
      </w:r>
      <w:r>
        <w:rPr>
          <w:lang w:val="sr-Cyrl-CS"/>
        </w:rPr>
        <w:t xml:space="preserve"> </w:t>
      </w:r>
      <w:r w:rsidRPr="00B9137D">
        <w:rPr>
          <w:b/>
          <w:lang w:val="sr-Cyrl-CS"/>
        </w:rPr>
        <w:t xml:space="preserve">КО </w:t>
      </w:r>
      <w:r>
        <w:rPr>
          <w:b/>
          <w:lang w:val="sr-Cyrl-CS"/>
        </w:rPr>
        <w:t>Прекодолце</w:t>
      </w:r>
      <w:r w:rsidR="00672033">
        <w:t xml:space="preserve">, </w:t>
      </w:r>
      <w:proofErr w:type="spellStart"/>
      <w:r w:rsidR="00672033">
        <w:t>којим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утврђују</w:t>
      </w:r>
      <w:proofErr w:type="spellEnd"/>
      <w:r w:rsidR="00672033">
        <w:t xml:space="preserve"> </w:t>
      </w:r>
      <w:proofErr w:type="spellStart"/>
      <w:r w:rsidR="00672033">
        <w:t>урбанистичко-технички</w:t>
      </w:r>
      <w:proofErr w:type="spellEnd"/>
      <w:r w:rsidR="00672033">
        <w:t xml:space="preserve"> и </w:t>
      </w:r>
      <w:proofErr w:type="spellStart"/>
      <w:r w:rsidR="00672033">
        <w:t>други</w:t>
      </w:r>
      <w:proofErr w:type="spellEnd"/>
      <w:r w:rsidR="00672033">
        <w:t xml:space="preserve"> </w:t>
      </w:r>
      <w:proofErr w:type="spellStart"/>
      <w:r w:rsidR="00672033">
        <w:t>услови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израду</w:t>
      </w:r>
      <w:proofErr w:type="spellEnd"/>
      <w:r w:rsidR="00672033">
        <w:t xml:space="preserve"> </w:t>
      </w:r>
      <w:proofErr w:type="spellStart"/>
      <w:r w:rsidR="00672033">
        <w:t>техничке</w:t>
      </w:r>
      <w:proofErr w:type="spellEnd"/>
      <w:r w:rsidR="00672033">
        <w:t xml:space="preserve"> </w:t>
      </w:r>
      <w:proofErr w:type="spellStart"/>
      <w:r w:rsidR="00672033">
        <w:t>документације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објекте</w:t>
      </w:r>
      <w:proofErr w:type="spellEnd"/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>
        <w:t>Б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bookmarkStart w:id="0" w:name="__DdeLink__314_1982202330"/>
      <w:proofErr w:type="gramStart"/>
      <w:r>
        <w:t>125101</w:t>
      </w:r>
      <w:bookmarkEnd w:id="0"/>
      <w:r>
        <w:t>,</w:t>
      </w:r>
      <w:r w:rsidR="00672033">
        <w:t xml:space="preserve"> </w:t>
      </w:r>
      <w:bookmarkStart w:id="1" w:name="__DdeLink__788_1665051069"/>
      <w:r>
        <w:rPr>
          <w:lang w:val="sr-Cyrl-CS"/>
        </w:rPr>
        <w:t xml:space="preserve">Цветковић Владице из села Прекодолце, Владичин Хан ЈМБГ </w:t>
      </w:r>
      <w:bookmarkEnd w:id="1"/>
      <w:r w:rsidR="00AF135E" w:rsidRPr="00AF135E">
        <w:rPr>
          <w:highlight w:val="black"/>
          <w:lang w:val="sr-Cyrl-CS"/>
        </w:rPr>
        <w:t>ххххх</w:t>
      </w:r>
      <w:r w:rsidR="00672033">
        <w:t>.</w:t>
      </w:r>
      <w:proofErr w:type="gramEnd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Плански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Просторни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Прекодолце</w:t>
      </w:r>
      <w:proofErr w:type="spellEnd"/>
      <w:r>
        <w:t xml:space="preserve"> </w:t>
      </w:r>
      <w:proofErr w:type="spellStart"/>
      <w:r>
        <w:t>развијеније</w:t>
      </w:r>
      <w:proofErr w:type="spellEnd"/>
      <w:r>
        <w:t xml:space="preserve"> и </w:t>
      </w:r>
      <w:proofErr w:type="spellStart"/>
      <w:r>
        <w:t>популационо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сеоско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rPr>
          <w:lang w:val="en-US"/>
        </w:rPr>
        <w:t>Предметна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локација</w:t>
      </w:r>
      <w:proofErr w:type="spellEnd"/>
      <w:r>
        <w:rPr>
          <w:lang w:val="en-US"/>
        </w:rPr>
        <w:t xml:space="preserve"> </w:t>
      </w:r>
      <w:proofErr w:type="spellStart"/>
      <w:r w:rsidR="00E62A7A">
        <w:t>индиректно</w:t>
      </w:r>
      <w:proofErr w:type="spellEnd"/>
      <w:r w:rsidR="00E62A7A">
        <w:t xml:space="preserve"> </w:t>
      </w:r>
      <w:proofErr w:type="spellStart"/>
      <w:r w:rsidR="00E62A7A">
        <w:t>је</w:t>
      </w:r>
      <w:proofErr w:type="spellEnd"/>
      <w:r w:rsidR="00E62A7A">
        <w:t xml:space="preserve"> </w:t>
      </w:r>
      <w:proofErr w:type="spellStart"/>
      <w:r w:rsidR="00E62A7A">
        <w:t>повезана</w:t>
      </w:r>
      <w:proofErr w:type="spellEnd"/>
      <w:r w:rsidR="00E62A7A">
        <w:t xml:space="preserve"> </w:t>
      </w:r>
      <w:proofErr w:type="spellStart"/>
      <w:r w:rsidR="00E62A7A">
        <w:t>са</w:t>
      </w:r>
      <w:proofErr w:type="spellEnd"/>
      <w:r w:rsidR="00E62A7A">
        <w:t xml:space="preserve"> </w:t>
      </w:r>
      <w:proofErr w:type="spellStart"/>
      <w:r w:rsidR="00E62A7A">
        <w:t>локалним</w:t>
      </w:r>
      <w:proofErr w:type="spellEnd"/>
      <w:r w:rsidR="00E62A7A">
        <w:t xml:space="preserve"> </w:t>
      </w:r>
      <w:proofErr w:type="spellStart"/>
      <w:r w:rsidR="00E62A7A">
        <w:t>некатегорисаним</w:t>
      </w:r>
      <w:proofErr w:type="spellEnd"/>
      <w:r w:rsidR="00E62A7A">
        <w:t xml:space="preserve"> </w:t>
      </w:r>
      <w:proofErr w:type="spellStart"/>
      <w:r w:rsidR="00E62A7A">
        <w:t>путем</w:t>
      </w:r>
      <w:proofErr w:type="spellEnd"/>
      <w:r w:rsidR="00E62A7A">
        <w:t xml:space="preserve"> </w:t>
      </w:r>
      <w:proofErr w:type="spellStart"/>
      <w:r w:rsidR="00E62A7A" w:rsidRPr="00E62A7A">
        <w:rPr>
          <w:b/>
        </w:rPr>
        <w:t>кп</w:t>
      </w:r>
      <w:proofErr w:type="spellEnd"/>
      <w:r w:rsidR="00E62A7A" w:rsidRPr="00E62A7A">
        <w:rPr>
          <w:b/>
        </w:rPr>
        <w:t>.</w:t>
      </w:r>
      <w:proofErr w:type="gramEnd"/>
      <w:r w:rsidR="00E62A7A" w:rsidRPr="00E62A7A">
        <w:rPr>
          <w:b/>
        </w:rPr>
        <w:t xml:space="preserve"> </w:t>
      </w:r>
      <w:proofErr w:type="spellStart"/>
      <w:r w:rsidR="00E62A7A" w:rsidRPr="00E62A7A">
        <w:rPr>
          <w:b/>
        </w:rPr>
        <w:t>бр</w:t>
      </w:r>
      <w:proofErr w:type="spellEnd"/>
      <w:r w:rsidR="00E62A7A" w:rsidRPr="00E62A7A">
        <w:rPr>
          <w:b/>
        </w:rPr>
        <w:t>. 3737</w:t>
      </w:r>
      <w:r w:rsidR="00E62A7A">
        <w:t xml:space="preserve"> </w:t>
      </w:r>
      <w:r>
        <w:rPr>
          <w:b/>
        </w:rPr>
        <w:t xml:space="preserve">КО </w:t>
      </w:r>
      <w:proofErr w:type="spellStart"/>
      <w:r>
        <w:rPr>
          <w:b/>
        </w:rPr>
        <w:t>Прекодолце</w:t>
      </w:r>
      <w:proofErr w:type="spellEnd"/>
      <w:r w:rsidR="00E62A7A">
        <w:rPr>
          <w:b/>
        </w:rPr>
        <w:t xml:space="preserve">, </w:t>
      </w:r>
      <w:proofErr w:type="spellStart"/>
      <w:r w:rsidR="00C27AC3">
        <w:t>преко</w:t>
      </w:r>
      <w:proofErr w:type="spellEnd"/>
      <w:r w:rsidR="00C27AC3">
        <w:t xml:space="preserve"> </w:t>
      </w:r>
      <w:proofErr w:type="spellStart"/>
      <w:r w:rsidR="00C27AC3">
        <w:t>кп.бр</w:t>
      </w:r>
      <w:proofErr w:type="spellEnd"/>
      <w:r w:rsidR="00C27AC3">
        <w:t xml:space="preserve">. </w:t>
      </w:r>
      <w:r w:rsidR="00C27AC3" w:rsidRPr="00C27AC3">
        <w:rPr>
          <w:b/>
        </w:rPr>
        <w:t xml:space="preserve">581/4 </w:t>
      </w:r>
      <w:r w:rsidR="00C27AC3">
        <w:rPr>
          <w:b/>
        </w:rPr>
        <w:t xml:space="preserve">КО </w:t>
      </w:r>
      <w:proofErr w:type="spellStart"/>
      <w:r w:rsidR="00C27AC3">
        <w:rPr>
          <w:b/>
        </w:rPr>
        <w:t>Прекодолце</w:t>
      </w:r>
      <w:proofErr w:type="spellEnd"/>
      <w:r w:rsidR="00C27AC3">
        <w:rPr>
          <w:b/>
        </w:rPr>
        <w:t>.</w:t>
      </w:r>
      <w:r w:rsidR="00C27AC3">
        <w:t xml:space="preserve">  </w:t>
      </w:r>
    </w:p>
    <w:p w:rsidR="00574E32" w:rsidRDefault="00672033">
      <w:pPr>
        <w:jc w:val="both"/>
      </w:pPr>
      <w:r>
        <w:tab/>
      </w:r>
      <w:r>
        <w:tab/>
      </w:r>
    </w:p>
    <w:p w:rsidR="00574E32" w:rsidRDefault="00672033">
      <w:pPr>
        <w:jc w:val="both"/>
      </w:pPr>
      <w:r>
        <w:tab/>
      </w:r>
      <w:proofErr w:type="spellStart"/>
      <w:r>
        <w:t>Препоруке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урбанистичког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а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>:</w:t>
      </w:r>
    </w:p>
    <w:p w:rsidR="00574E32" w:rsidRDefault="00574E32">
      <w:pPr>
        <w:ind w:firstLine="720"/>
        <w:jc w:val="both"/>
      </w:pP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Степен изграђености – ИИ (однос између бруто развијене изграђене површине свих надземних етажа користних простора и површине парцеле) -  мах. 2,1.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Степен заузетости земљишта ИЗ (однос између бруто површине под објектом и површине грађевинске парцеле помножен бројем 100) – мах. 60%,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Минимална ширина фронта грађевинске парцеле износи 15,00м.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Мах. висина објекта 12,00м, мах. спратност П+2.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 w:rsidRPr="00663DC1">
        <w:rPr>
          <w:lang w:val="sr-Cyrl-CS"/>
        </w:rPr>
        <w:t xml:space="preserve">Кота приземља </w:t>
      </w:r>
      <w:r>
        <w:rPr>
          <w:lang w:val="sr-Cyrl-CS"/>
        </w:rPr>
        <w:t xml:space="preserve">не </w:t>
      </w:r>
      <w:r w:rsidRPr="00663DC1">
        <w:rPr>
          <w:lang w:val="sr-Cyrl-CS"/>
        </w:rPr>
        <w:t>може</w:t>
      </w:r>
      <w:r>
        <w:rPr>
          <w:lang w:val="sr-Cyrl-CS"/>
        </w:rPr>
        <w:t xml:space="preserve"> бити</w:t>
      </w:r>
      <w:r w:rsidRPr="00663DC1">
        <w:rPr>
          <w:lang w:val="sr-Cyrl-CS"/>
        </w:rPr>
        <w:t xml:space="preserve"> нижа </w:t>
      </w:r>
      <w:r>
        <w:rPr>
          <w:lang w:val="sr-Cyrl-CS"/>
        </w:rPr>
        <w:t xml:space="preserve"> од 1</w:t>
      </w:r>
      <w:r w:rsidRPr="00663DC1">
        <w:rPr>
          <w:lang w:val="sr-Cyrl-CS"/>
        </w:rPr>
        <w:t>,20 м, од коте нивелете јавног</w:t>
      </w:r>
      <w:r>
        <w:rPr>
          <w:lang w:val="sr-Cyrl-CS"/>
        </w:rPr>
        <w:t xml:space="preserve"> или приступног пута</w:t>
      </w:r>
      <w:r w:rsidRPr="00663DC1">
        <w:rPr>
          <w:lang w:val="sr-Cyrl-CS"/>
        </w:rPr>
        <w:t>.</w:t>
      </w:r>
    </w:p>
    <w:p w:rsidR="00C27AC3" w:rsidRPr="0049323D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Кота приземља може бити највише 1,20 м виша од нулте коте.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На истој парцели се може градити више објеката с тим да заједно остану у границама дозвољених урбанистичких показатеља као и помоћни објекти и гараже.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Бочна и задња одстојања објекта од ивица парцеле су минимално ½ висине објекта, а не мање од 5,00м, уз обавезу садње најмање једног дрвореда.</w:t>
      </w:r>
    </w:p>
    <w:p w:rsidR="00C27AC3" w:rsidRPr="00210D6C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 w:rsidRPr="00210D6C">
        <w:rPr>
          <w:lang w:val="sr-Cyrl-CS"/>
        </w:rPr>
        <w:lastRenderedPageBreak/>
        <w:t>Међусобно одстојање објеката на парцели износи најмање 5,</w:t>
      </w:r>
      <w:r>
        <w:rPr>
          <w:lang w:val="sr-Cyrl-CS"/>
        </w:rPr>
        <w:t>00</w:t>
      </w:r>
      <w:r w:rsidRPr="00210D6C">
        <w:rPr>
          <w:lang w:val="sr-Cyrl-CS"/>
        </w:rPr>
        <w:t xml:space="preserve"> метара, док је најмање растојање објекта и линије суседне грађевинске парцеле 2,5</w:t>
      </w:r>
      <w:r>
        <w:rPr>
          <w:lang w:val="sr-Cyrl-CS"/>
        </w:rPr>
        <w:t>0</w:t>
      </w:r>
      <w:r w:rsidRPr="00210D6C">
        <w:rPr>
          <w:lang w:val="sr-Cyrl-CS"/>
        </w:rPr>
        <w:t xml:space="preserve"> мет</w:t>
      </w:r>
      <w:r>
        <w:rPr>
          <w:lang w:val="sr-Cyrl-CS"/>
        </w:rPr>
        <w:t>а</w:t>
      </w:r>
      <w:r w:rsidRPr="00210D6C">
        <w:rPr>
          <w:lang w:val="sr-Cyrl-CS"/>
        </w:rPr>
        <w:t>ра. За изграђене грађевинске објекте чије је растојање до границе парцеле мање од 2,5</w:t>
      </w:r>
      <w:r>
        <w:rPr>
          <w:lang w:val="sr-Cyrl-CS"/>
        </w:rPr>
        <w:t>0</w:t>
      </w:r>
      <w:r w:rsidRPr="00210D6C">
        <w:rPr>
          <w:lang w:val="sr-Cyrl-CS"/>
        </w:rPr>
        <w:t xml:space="preserve"> метра , не могу се на суседним странама предвиђати наспрамни отвори стамбених просторија, као и за објекте чије је међусобно удаљење мање од 4,</w:t>
      </w:r>
      <w:r>
        <w:rPr>
          <w:lang w:val="sr-Cyrl-CS"/>
        </w:rPr>
        <w:t>00</w:t>
      </w:r>
      <w:r w:rsidRPr="00210D6C">
        <w:rPr>
          <w:lang w:val="sr-Cyrl-CS"/>
        </w:rPr>
        <w:t xml:space="preserve"> мет</w:t>
      </w:r>
      <w:r>
        <w:rPr>
          <w:lang w:val="sr-Cyrl-CS"/>
        </w:rPr>
        <w:t>а</w:t>
      </w:r>
      <w:r w:rsidRPr="00210D6C">
        <w:rPr>
          <w:lang w:val="sr-Cyrl-CS"/>
        </w:rPr>
        <w:t>ра.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Под помоћним објектима не може бити више од 10% површине парцеле.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Одводњавање површинских вода са грађевинске парцела вршити  слободним падом према риголама, односно према улици са најмањим падом од 1,5%. Површинске воде  не могу се усмеравати према другој парцели.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Насипање терена не сме угрозити објекте на суседним парцелама, а одвођење површинских вода мора бити контролисано а ако постоји потреба за тим на парцели изградити и упојини бунар.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За паркирање возила за сопствене потребе инвеститор обезбеђује место на сопственој парцели изван површине јавног пута.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Спољни изглед објекта , примењени материјал, облик крова, примењене боје и други елементи објекта решити тако да се обезбеди хармоничност урбане целине у односу на локалне особине места (локални материјали, традиционални детаљи и сл.).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Ограђивање парцеле извести зиданом оградом мах. висине 0,90м или транспарентном оградом мах. висине 1,40м.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Ограду поставити тако да стубови ограде и капије буду на грађевинској</w:t>
      </w:r>
    </w:p>
    <w:p w:rsidR="00C27AC3" w:rsidRDefault="00C27AC3" w:rsidP="00C27AC3">
      <w:pPr>
        <w:ind w:left="1080"/>
        <w:jc w:val="both"/>
        <w:rPr>
          <w:lang w:val="sr-Cyrl-CS"/>
        </w:rPr>
      </w:pPr>
      <w:r>
        <w:rPr>
          <w:lang w:val="sr-Cyrl-CS"/>
        </w:rPr>
        <w:t xml:space="preserve"> парцели која се ограђује.</w:t>
      </w:r>
    </w:p>
    <w:p w:rsidR="00C27AC3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>
        <w:rPr>
          <w:lang w:val="sr-Cyrl-CS"/>
        </w:rPr>
        <w:t>Парцелу повезати са најближим локалним путем мин. ширине прилаза 2,50м а колски приступ мин, 5,00м, уз решавање неопходних имовинско правних односа.</w:t>
      </w:r>
    </w:p>
    <w:p w:rsidR="00C27AC3" w:rsidRPr="009A2AFB" w:rsidRDefault="00C27AC3" w:rsidP="00C27AC3">
      <w:pPr>
        <w:numPr>
          <w:ilvl w:val="2"/>
          <w:numId w:val="7"/>
        </w:numPr>
        <w:jc w:val="both"/>
        <w:rPr>
          <w:lang w:val="sr-Cyrl-CS"/>
        </w:rPr>
      </w:pPr>
      <w:r w:rsidRPr="009A2AFB">
        <w:rPr>
          <w:lang w:val="sr-Cyrl-CS"/>
        </w:rPr>
        <w:t>Није дозвољено упуштање делова објеката у јавну површину.</w:t>
      </w:r>
    </w:p>
    <w:p w:rsidR="00C27AC3" w:rsidRDefault="00C27AC3" w:rsidP="00C27AC3">
      <w:pPr>
        <w:ind w:firstLine="1418"/>
        <w:jc w:val="both"/>
        <w:rPr>
          <w:lang w:val="sr-Cyrl-CS"/>
        </w:rPr>
      </w:pP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За објекте и делове објеката нестамбене намене по стамбеним зонама,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>
        <w:rPr>
          <w:lang w:val="en-US"/>
        </w:rPr>
        <w:t>o</w:t>
      </w:r>
      <w:r>
        <w:rPr>
          <w:lang w:val="sr-Cyrl-CS"/>
        </w:rPr>
        <w:t>пштих правила градње, 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важе сва наведена  правила за минималну величину грађевинске парцеле и урбанистичке показатеље.</w:t>
      </w:r>
      <w:r w:rsidRPr="005F5F81">
        <w:rPr>
          <w:lang w:val="sr-Cyrl-CS"/>
        </w:rPr>
        <w:t xml:space="preserve"> 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Default="00C27AC3" w:rsidP="00C27AC3">
      <w:pPr>
        <w:tabs>
          <w:tab w:val="left" w:pos="2340"/>
        </w:tabs>
        <w:ind w:firstLine="1418"/>
        <w:jc w:val="both"/>
        <w:rPr>
          <w:b/>
          <w:lang w:val="sr-Cyrl-CS"/>
        </w:rPr>
      </w:pPr>
      <w:r w:rsidRPr="00324177">
        <w:rPr>
          <w:b/>
          <w:lang w:val="sr-Cyrl-CS"/>
        </w:rPr>
        <w:t xml:space="preserve">Дозвољене делатности су оне које су еколошки и функционално примерене зони, те је потребно покренути поступак </w:t>
      </w:r>
      <w:r>
        <w:rPr>
          <w:b/>
          <w:lang w:val="sr-Cyrl-CS"/>
        </w:rPr>
        <w:t>за одлучивање о изради процене утицаја пројекта на животну средину</w:t>
      </w:r>
      <w:r w:rsidRPr="00324177">
        <w:rPr>
          <w:b/>
          <w:lang w:val="sr-Cyrl-CS"/>
        </w:rPr>
        <w:t>.</w:t>
      </w:r>
    </w:p>
    <w:p w:rsidR="00C27AC3" w:rsidRPr="00324177" w:rsidRDefault="00C27AC3" w:rsidP="00C27AC3">
      <w:pPr>
        <w:tabs>
          <w:tab w:val="left" w:pos="2340"/>
        </w:tabs>
        <w:jc w:val="both"/>
        <w:rPr>
          <w:b/>
          <w:lang w:val="sr-Cyrl-CS"/>
        </w:rPr>
      </w:pP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 како нека од њих нису погодна за вожњу уназад са препоруком примене косих шема паркирања са пролазним паркинг местима и једносмерним системом циркулације</w:t>
      </w:r>
      <w:r>
        <w:rPr>
          <w:lang w:val="en-US"/>
        </w:rPr>
        <w:t>.</w:t>
      </w:r>
    </w:p>
    <w:p w:rsidR="00C27AC3" w:rsidRPr="00360B5A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Pr="000C566F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Број паркинг места одредити кроз израду пројектне документације, на основу датих норматива, према планираној делатности, односно технолошким потребама, броју посетилаца и броју запослених, а орјентационо 1ПМ на 70-100 м² БРГП.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Дужина паркинг места се заснива на принципу да се дужина меродавног возила увећа за мин. 2</w:t>
      </w:r>
      <w:r w:rsidR="00CA728C">
        <w:rPr>
          <w:lang w:val="sr-Cyrl-CS"/>
        </w:rPr>
        <w:t>,00</w:t>
      </w:r>
      <w:r>
        <w:rPr>
          <w:lang w:val="sr-Cyrl-CS"/>
        </w:rPr>
        <w:t xml:space="preserve"> мет</w:t>
      </w:r>
      <w:r w:rsidR="00CA728C">
        <w:rPr>
          <w:lang w:val="sr-Cyrl-CS"/>
        </w:rPr>
        <w:t>а</w:t>
      </w:r>
      <w:r>
        <w:rPr>
          <w:lang w:val="sr-Cyrl-CS"/>
        </w:rPr>
        <w:t xml:space="preserve">ра а димензије приступних саобраћајница одговарају маневарским способностима предметних возила. </w:t>
      </w: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p w:rsidR="00C27AC3" w:rsidRPr="007C21F5" w:rsidRDefault="00C27AC3" w:rsidP="00C27AC3">
      <w:pPr>
        <w:ind w:firstLine="720"/>
        <w:jc w:val="both"/>
        <w:rPr>
          <w:lang w:val="sr-Cyrl-CS"/>
        </w:rPr>
      </w:pPr>
      <w:r w:rsidRPr="007C21F5">
        <w:rPr>
          <w:lang w:val="sr-Cyrl-CS"/>
        </w:rPr>
        <w:lastRenderedPageBreak/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C27AC3" w:rsidRPr="007C21F5" w:rsidRDefault="00C27AC3" w:rsidP="00C27AC3">
      <w:pPr>
        <w:ind w:firstLine="426"/>
        <w:jc w:val="both"/>
        <w:rPr>
          <w:lang w:val="sr-Cyrl-CS"/>
        </w:rPr>
      </w:pPr>
    </w:p>
    <w:p w:rsidR="00C27AC3" w:rsidRPr="007C21F5" w:rsidRDefault="00C27AC3" w:rsidP="00C27AC3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>
        <w:rPr>
          <w:lang w:val="sr-Cyrl-CS"/>
        </w:rPr>
        <w:t xml:space="preserve">. </w:t>
      </w:r>
    </w:p>
    <w:p w:rsidR="00574E32" w:rsidRPr="00672033" w:rsidRDefault="00574E32">
      <w:pPr>
        <w:jc w:val="both"/>
        <w:rPr>
          <w:b/>
        </w:rPr>
      </w:pPr>
    </w:p>
    <w:p w:rsidR="00574E32" w:rsidRDefault="00672033">
      <w:pPr>
        <w:jc w:val="both"/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пројектовање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прикључење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овлашћења</w:t>
      </w:r>
      <w:proofErr w:type="spellEnd"/>
      <w:r>
        <w:rPr>
          <w:b/>
          <w:bCs/>
        </w:rPr>
        <w:t>: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ind w:left="2340"/>
        <w:jc w:val="both"/>
      </w:pPr>
    </w:p>
    <w:p w:rsidR="00574E32" w:rsidRDefault="00672033">
      <w:pPr>
        <w:numPr>
          <w:ilvl w:val="0"/>
          <w:numId w:val="4"/>
        </w:numPr>
        <w:tabs>
          <w:tab w:val="left" w:pos="645"/>
          <w:tab w:val="left" w:pos="720"/>
        </w:tabs>
        <w:ind w:firstLine="0"/>
        <w:jc w:val="both"/>
      </w:pPr>
      <w:r>
        <w:rPr>
          <w:b/>
          <w:bCs/>
        </w:rPr>
        <w:t>ЈП „</w:t>
      </w:r>
      <w:proofErr w:type="spellStart"/>
      <w:r>
        <w:rPr>
          <w:b/>
          <w:bCs/>
        </w:rPr>
        <w:t>Водовод</w:t>
      </w:r>
      <w:proofErr w:type="spellEnd"/>
      <w:r>
        <w:rPr>
          <w:b/>
          <w:bCs/>
        </w:rPr>
        <w:t xml:space="preserve">“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574E32" w:rsidRDefault="00672033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12</w:t>
      </w:r>
      <w:r w:rsidR="00CA728C">
        <w:t>48</w:t>
      </w:r>
      <w:r>
        <w:t xml:space="preserve"> </w:t>
      </w:r>
      <w:proofErr w:type="spellStart"/>
      <w:r>
        <w:t>од</w:t>
      </w:r>
      <w:proofErr w:type="spellEnd"/>
      <w:r>
        <w:t xml:space="preserve"> 24.05.2016.године,</w:t>
      </w:r>
    </w:p>
    <w:p w:rsidR="00586A69" w:rsidRDefault="00586A69">
      <w:pPr>
        <w:tabs>
          <w:tab w:val="left" w:pos="645"/>
          <w:tab w:val="left" w:pos="720"/>
        </w:tabs>
        <w:ind w:left="629" w:hanging="629"/>
        <w:jc w:val="both"/>
      </w:pPr>
    </w:p>
    <w:p w:rsidR="00586A69" w:rsidRPr="00586A69" w:rsidRDefault="00586A69" w:rsidP="00586A69">
      <w:pPr>
        <w:tabs>
          <w:tab w:val="left" w:pos="645"/>
          <w:tab w:val="left" w:pos="720"/>
        </w:tabs>
        <w:ind w:left="360"/>
        <w:jc w:val="both"/>
      </w:pPr>
      <w:r>
        <w:t xml:space="preserve">                 </w:t>
      </w:r>
      <w:r w:rsidRPr="00586A69">
        <w:t xml:space="preserve">-  </w:t>
      </w:r>
      <w:proofErr w:type="spellStart"/>
      <w:r w:rsidRPr="00586A69">
        <w:t>Недостајућа</w:t>
      </w:r>
      <w:proofErr w:type="spellEnd"/>
      <w:r w:rsidRPr="00586A69">
        <w:t xml:space="preserve"> </w:t>
      </w:r>
      <w:proofErr w:type="spellStart"/>
      <w:r w:rsidRPr="00586A69">
        <w:t>инфраструктура</w:t>
      </w:r>
      <w:proofErr w:type="spellEnd"/>
      <w:r w:rsidRPr="00586A69">
        <w:t xml:space="preserve">- </w:t>
      </w:r>
      <w:proofErr w:type="spellStart"/>
      <w:r w:rsidRPr="00586A69">
        <w:t>прикључак</w:t>
      </w:r>
      <w:proofErr w:type="spellEnd"/>
      <w:r w:rsidRPr="00586A69">
        <w:t xml:space="preserve"> </w:t>
      </w:r>
      <w:proofErr w:type="spellStart"/>
      <w:r w:rsidRPr="00586A69">
        <w:t>на</w:t>
      </w:r>
      <w:proofErr w:type="spellEnd"/>
      <w:r w:rsidRPr="00586A69">
        <w:t xml:space="preserve"> </w:t>
      </w:r>
      <w:proofErr w:type="spellStart"/>
      <w:r w:rsidRPr="00586A69">
        <w:t>канализациону</w:t>
      </w:r>
      <w:proofErr w:type="spellEnd"/>
      <w:r w:rsidRPr="00586A69">
        <w:t xml:space="preserve"> </w:t>
      </w:r>
      <w:proofErr w:type="spellStart"/>
      <w:r w:rsidRPr="00586A69">
        <w:t>мрежу</w:t>
      </w:r>
      <w:proofErr w:type="spellEnd"/>
      <w:r w:rsidRPr="00586A69">
        <w:t>.</w:t>
      </w:r>
    </w:p>
    <w:p w:rsidR="00574E32" w:rsidRDefault="00574E32">
      <w:pPr>
        <w:tabs>
          <w:tab w:val="left" w:pos="645"/>
          <w:tab w:val="left" w:pos="720"/>
        </w:tabs>
        <w:ind w:left="629" w:hanging="629"/>
        <w:jc w:val="both"/>
      </w:pPr>
    </w:p>
    <w:p w:rsidR="00574E32" w:rsidRDefault="00672033">
      <w:pPr>
        <w:numPr>
          <w:ilvl w:val="0"/>
          <w:numId w:val="5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Телеком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Извршна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јединица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, </w:t>
      </w:r>
    </w:p>
    <w:p w:rsidR="00574E32" w:rsidRDefault="00672033">
      <w:pPr>
        <w:tabs>
          <w:tab w:val="left" w:pos="720"/>
        </w:tabs>
        <w:ind w:left="629" w:hanging="629"/>
        <w:jc w:val="both"/>
      </w:pPr>
      <w:r>
        <w:tab/>
      </w:r>
      <w:proofErr w:type="spellStart"/>
      <w:r>
        <w:t>Условна</w:t>
      </w:r>
      <w:proofErr w:type="spellEnd"/>
      <w:r>
        <w:t xml:space="preserve"> </w:t>
      </w:r>
      <w:proofErr w:type="spellStart"/>
      <w:proofErr w:type="gramStart"/>
      <w:r>
        <w:t>сагласност</w:t>
      </w:r>
      <w:proofErr w:type="spellEnd"/>
      <w:r>
        <w:t xml:space="preserve">  </w:t>
      </w:r>
      <w:proofErr w:type="spellStart"/>
      <w:r>
        <w:t>број</w:t>
      </w:r>
      <w:proofErr w:type="spellEnd"/>
      <w:proofErr w:type="gramEnd"/>
      <w:r>
        <w:t xml:space="preserve"> 7151-19616</w:t>
      </w:r>
      <w:r w:rsidR="00CA728C">
        <w:t>2</w:t>
      </w:r>
      <w:r>
        <w:t xml:space="preserve">/1 </w:t>
      </w:r>
      <w:proofErr w:type="spellStart"/>
      <w:r>
        <w:t>од</w:t>
      </w:r>
      <w:proofErr w:type="spellEnd"/>
      <w:r>
        <w:t xml:space="preserve"> 20.05.2016.године,</w:t>
      </w:r>
    </w:p>
    <w:p w:rsidR="00574E32" w:rsidRDefault="00574E32">
      <w:pPr>
        <w:tabs>
          <w:tab w:val="left" w:pos="720"/>
        </w:tabs>
        <w:ind w:left="629" w:hanging="629"/>
        <w:jc w:val="both"/>
      </w:pPr>
    </w:p>
    <w:p w:rsidR="00574E32" w:rsidRDefault="00672033">
      <w:pPr>
        <w:numPr>
          <w:ilvl w:val="0"/>
          <w:numId w:val="2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Електропривреда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Србије</w:t>
      </w:r>
      <w:proofErr w:type="spellEnd"/>
      <w:r>
        <w:rPr>
          <w:b/>
          <w:bCs/>
        </w:rPr>
        <w:t xml:space="preserve">, ЕПС </w:t>
      </w:r>
      <w:proofErr w:type="spellStart"/>
      <w:r>
        <w:rPr>
          <w:b/>
          <w:bCs/>
        </w:rPr>
        <w:t>дистрибуција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енергетику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инвестиције</w:t>
      </w:r>
      <w:proofErr w:type="spellEnd"/>
      <w:r>
        <w:rPr>
          <w:b/>
          <w:bCs/>
        </w:rPr>
        <w:t xml:space="preserve">, </w:t>
      </w:r>
    </w:p>
    <w:p w:rsidR="00574E32" w:rsidRDefault="00672033">
      <w:pPr>
        <w:tabs>
          <w:tab w:val="left" w:pos="234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13917</w:t>
      </w:r>
      <w:r w:rsidR="00CA728C">
        <w:t>7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02.06.2016.године.</w:t>
      </w:r>
    </w:p>
    <w:p w:rsidR="00586A69" w:rsidRDefault="00586A69">
      <w:pPr>
        <w:tabs>
          <w:tab w:val="left" w:pos="2340"/>
        </w:tabs>
        <w:ind w:left="629" w:hanging="629"/>
        <w:jc w:val="both"/>
      </w:pPr>
    </w:p>
    <w:p w:rsidR="00586A69" w:rsidRPr="00586A69" w:rsidRDefault="00586A69">
      <w:pPr>
        <w:tabs>
          <w:tab w:val="left" w:pos="2340"/>
        </w:tabs>
        <w:ind w:left="629" w:hanging="629"/>
        <w:jc w:val="both"/>
      </w:pPr>
      <w:r>
        <w:t xml:space="preserve">                      </w:t>
      </w:r>
      <w:r w:rsidRPr="00586A69">
        <w:t xml:space="preserve">-  </w:t>
      </w:r>
      <w:proofErr w:type="spellStart"/>
      <w:r w:rsidRPr="00586A69">
        <w:t>Недостајућа</w:t>
      </w:r>
      <w:proofErr w:type="spellEnd"/>
      <w:r w:rsidRPr="00586A69">
        <w:t xml:space="preserve"> </w:t>
      </w:r>
      <w:proofErr w:type="spellStart"/>
      <w:r w:rsidRPr="00586A69">
        <w:t>инфраструктура</w:t>
      </w:r>
      <w:proofErr w:type="spellEnd"/>
      <w:r w:rsidR="00672033">
        <w:t xml:space="preserve"> </w:t>
      </w:r>
      <w:r w:rsidRPr="00586A69">
        <w:t xml:space="preserve">- </w:t>
      </w:r>
      <w:r w:rsidR="00672033">
        <w:t xml:space="preserve">ТС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Pr="00586A69">
        <w:t>прикључак</w:t>
      </w:r>
      <w:proofErr w:type="spellEnd"/>
      <w:r w:rsidRPr="00586A69">
        <w:t xml:space="preserve"> </w:t>
      </w:r>
      <w:proofErr w:type="spellStart"/>
      <w:r w:rsidRPr="00586A69">
        <w:t>на</w:t>
      </w:r>
      <w:proofErr w:type="spellEnd"/>
      <w:r w:rsidRPr="00586A69">
        <w:t xml:space="preserve"> </w:t>
      </w:r>
      <w:r>
        <w:t>ЕДБ</w:t>
      </w:r>
      <w:r w:rsidRPr="00586A69">
        <w:t xml:space="preserve"> </w:t>
      </w:r>
      <w:proofErr w:type="spellStart"/>
      <w:r w:rsidRPr="00586A69">
        <w:t>мрежу</w:t>
      </w:r>
      <w:proofErr w:type="spellEnd"/>
      <w:r>
        <w:t xml:space="preserve"> у </w:t>
      </w:r>
      <w:proofErr w:type="spellStart"/>
      <w:r>
        <w:t>затраженом</w:t>
      </w:r>
      <w:proofErr w:type="spellEnd"/>
      <w:r>
        <w:t xml:space="preserve"> </w:t>
      </w:r>
      <w:proofErr w:type="spellStart"/>
      <w:r>
        <w:t>капацитету</w:t>
      </w:r>
      <w:proofErr w:type="spellEnd"/>
      <w:r w:rsidRPr="00586A69">
        <w:t>.</w:t>
      </w:r>
    </w:p>
    <w:p w:rsidR="00574E32" w:rsidRDefault="00574E32">
      <w:pPr>
        <w:tabs>
          <w:tab w:val="left" w:pos="2340"/>
        </w:tabs>
        <w:jc w:val="both"/>
        <w:rPr>
          <w:b/>
          <w:bCs/>
        </w:rPr>
      </w:pPr>
    </w:p>
    <w:p w:rsidR="00574E32" w:rsidRPr="00672033" w:rsidRDefault="00672033">
      <w:pPr>
        <w:numPr>
          <w:ilvl w:val="0"/>
          <w:numId w:val="2"/>
        </w:numPr>
        <w:tabs>
          <w:tab w:val="left" w:pos="630"/>
        </w:tabs>
        <w:ind w:firstLine="0"/>
        <w:jc w:val="both"/>
      </w:pPr>
      <w:r>
        <w:rPr>
          <w:b/>
          <w:bCs/>
        </w:rPr>
        <w:t xml:space="preserve">ЈП </w:t>
      </w:r>
      <w:proofErr w:type="spellStart"/>
      <w:r>
        <w:rPr>
          <w:b/>
          <w:bCs/>
        </w:rPr>
        <w:t>Дирекција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грађевинско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земљиште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путеве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672033" w:rsidRDefault="00672033" w:rsidP="00672033">
      <w:pPr>
        <w:tabs>
          <w:tab w:val="left" w:pos="630"/>
        </w:tabs>
        <w:ind w:left="2340"/>
        <w:jc w:val="both"/>
      </w:pPr>
    </w:p>
    <w:p w:rsidR="00574E32" w:rsidRDefault="00672033">
      <w:pPr>
        <w:tabs>
          <w:tab w:val="left" w:pos="234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 w:rsidR="00CA728C">
        <w:t xml:space="preserve"> </w:t>
      </w:r>
      <w:r>
        <w:t>66</w:t>
      </w:r>
      <w:r w:rsidR="00CA728C">
        <w:t>3</w:t>
      </w:r>
      <w:r>
        <w:t xml:space="preserve"> </w:t>
      </w:r>
      <w:proofErr w:type="spellStart"/>
      <w:r>
        <w:t>од</w:t>
      </w:r>
      <w:proofErr w:type="spellEnd"/>
      <w:r>
        <w:t xml:space="preserve"> 03.06.2016.године;</w:t>
      </w:r>
    </w:p>
    <w:p w:rsidR="00CA728C" w:rsidRDefault="00CA728C">
      <w:pPr>
        <w:tabs>
          <w:tab w:val="left" w:pos="2340"/>
        </w:tabs>
        <w:ind w:left="629" w:hanging="629"/>
        <w:jc w:val="both"/>
      </w:pPr>
    </w:p>
    <w:p w:rsidR="00672033" w:rsidRPr="00672033" w:rsidRDefault="00CA728C" w:rsidP="00CA728C">
      <w:pPr>
        <w:numPr>
          <w:ilvl w:val="0"/>
          <w:numId w:val="2"/>
        </w:numPr>
        <w:tabs>
          <w:tab w:val="left" w:pos="630"/>
        </w:tabs>
        <w:ind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пожара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Министарство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унутрашњих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послова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ванредне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ситуације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Одељење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ванредне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ситуације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Врању</w:t>
      </w:r>
      <w:proofErr w:type="spellEnd"/>
      <w:r>
        <w:rPr>
          <w:b/>
          <w:bCs/>
        </w:rPr>
        <w:t xml:space="preserve"> 09/11/3</w:t>
      </w:r>
      <w:r w:rsidR="00672033">
        <w:rPr>
          <w:b/>
          <w:bCs/>
        </w:rPr>
        <w:t>,</w:t>
      </w:r>
    </w:p>
    <w:p w:rsidR="00CA728C" w:rsidRPr="00CA728C" w:rsidRDefault="00CA728C" w:rsidP="00672033">
      <w:pPr>
        <w:tabs>
          <w:tab w:val="left" w:pos="630"/>
        </w:tabs>
        <w:ind w:left="2340"/>
        <w:jc w:val="both"/>
      </w:pPr>
      <w:r>
        <w:rPr>
          <w:b/>
          <w:bCs/>
        </w:rPr>
        <w:t xml:space="preserve"> </w:t>
      </w:r>
    </w:p>
    <w:p w:rsidR="00CA728C" w:rsidRDefault="00CA728C" w:rsidP="00CA728C">
      <w:pPr>
        <w:tabs>
          <w:tab w:val="left" w:pos="630"/>
        </w:tabs>
        <w:ind w:left="630"/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217-5245/16</w:t>
      </w:r>
      <w:r w:rsidR="0088156D">
        <w:t>-</w:t>
      </w:r>
      <w:r>
        <w:t xml:space="preserve">1 </w:t>
      </w:r>
      <w:proofErr w:type="spellStart"/>
      <w:r>
        <w:t>од</w:t>
      </w:r>
      <w:proofErr w:type="spellEnd"/>
      <w:r>
        <w:t xml:space="preserve"> 03.06.2016.године;</w:t>
      </w:r>
    </w:p>
    <w:p w:rsidR="00574E32" w:rsidRPr="0088156D" w:rsidRDefault="00574E32">
      <w:pPr>
        <w:tabs>
          <w:tab w:val="left" w:pos="2340"/>
        </w:tabs>
        <w:jc w:val="both"/>
      </w:pPr>
    </w:p>
    <w:p w:rsidR="00574E32" w:rsidRPr="0088156D" w:rsidRDefault="00672033">
      <w:pPr>
        <w:numPr>
          <w:ilvl w:val="0"/>
          <w:numId w:val="2"/>
        </w:numPr>
        <w:tabs>
          <w:tab w:val="left" w:pos="630"/>
        </w:tabs>
        <w:ind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>,</w:t>
      </w:r>
    </w:p>
    <w:p w:rsidR="0088156D" w:rsidRDefault="0088156D" w:rsidP="0088156D">
      <w:pPr>
        <w:tabs>
          <w:tab w:val="left" w:pos="630"/>
        </w:tabs>
        <w:ind w:left="2340"/>
        <w:jc w:val="both"/>
      </w:pPr>
    </w:p>
    <w:p w:rsidR="00574E32" w:rsidRDefault="00672033">
      <w:pPr>
        <w:tabs>
          <w:tab w:val="left" w:pos="630"/>
        </w:tabs>
        <w:jc w:val="both"/>
      </w:pP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оствариће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и </w:t>
      </w:r>
      <w:proofErr w:type="spellStart"/>
      <w:r>
        <w:t>предострожности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негативног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интегрално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сфера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(</w:t>
      </w:r>
      <w:proofErr w:type="spellStart"/>
      <w:r>
        <w:t>саобраћај</w:t>
      </w:r>
      <w:proofErr w:type="spellEnd"/>
      <w:r>
        <w:t xml:space="preserve">, </w:t>
      </w:r>
      <w:proofErr w:type="spellStart"/>
      <w:r>
        <w:t>индустрија</w:t>
      </w:r>
      <w:proofErr w:type="spellEnd"/>
      <w:r>
        <w:t xml:space="preserve">, </w:t>
      </w:r>
      <w:proofErr w:type="spellStart"/>
      <w:r>
        <w:t>пољопривреда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, </w:t>
      </w:r>
      <w:proofErr w:type="spellStart"/>
      <w:r>
        <w:t>инфраструктура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негативне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и </w:t>
      </w:r>
      <w:proofErr w:type="spellStart"/>
      <w:r>
        <w:t>створене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. </w:t>
      </w:r>
    </w:p>
    <w:p w:rsidR="00574E32" w:rsidRDefault="00574E32" w:rsidP="00672033">
      <w:pPr>
        <w:tabs>
          <w:tab w:val="left" w:pos="2340"/>
        </w:tabs>
        <w:jc w:val="both"/>
        <w:rPr>
          <w:b/>
          <w:bCs/>
        </w:rPr>
      </w:pPr>
    </w:p>
    <w:p w:rsidR="00672033" w:rsidRDefault="00672033" w:rsidP="00672033">
      <w:pPr>
        <w:tabs>
          <w:tab w:val="left" w:pos="2340"/>
        </w:tabs>
        <w:jc w:val="both"/>
        <w:rPr>
          <w:b/>
          <w:bCs/>
        </w:rPr>
      </w:pPr>
    </w:p>
    <w:p w:rsidR="00672033" w:rsidRPr="00672033" w:rsidRDefault="00672033" w:rsidP="00672033">
      <w:pPr>
        <w:tabs>
          <w:tab w:val="left" w:pos="2340"/>
        </w:tabs>
        <w:jc w:val="both"/>
      </w:pPr>
    </w:p>
    <w:p w:rsidR="00574E32" w:rsidRDefault="00672033">
      <w:pPr>
        <w:ind w:firstLine="720"/>
        <w:jc w:val="both"/>
      </w:pPr>
      <w:proofErr w:type="spellStart"/>
      <w:r>
        <w:lastRenderedPageBreak/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574E32">
      <w:pPr>
        <w:rPr>
          <w:b/>
        </w:rPr>
      </w:pPr>
    </w:p>
    <w:p w:rsidR="00574E32" w:rsidRDefault="00672033">
      <w:pPr>
        <w:jc w:val="center"/>
        <w:rPr>
          <w:b/>
        </w:rPr>
      </w:pPr>
      <w:r>
        <w:rPr>
          <w:b/>
        </w:rPr>
        <w:t>ПОСЕБНИ УСЛОВИ</w:t>
      </w:r>
    </w:p>
    <w:p w:rsidR="00421F02" w:rsidRPr="00421F02" w:rsidRDefault="00421F02">
      <w:pPr>
        <w:jc w:val="center"/>
      </w:pP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  <w:rPr>
          <w:lang w:val="en-US"/>
        </w:rPr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proofErr w:type="gramStart"/>
      <w:r>
        <w:t>дозволу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пренамену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грађевинско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учињено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r>
        <w:rPr>
          <w:b/>
        </w:rPr>
        <w:t>О б р а з л о ж е њ е</w:t>
      </w:r>
    </w:p>
    <w:p w:rsidR="00574E32" w:rsidRPr="00672033" w:rsidRDefault="00574E32" w:rsidP="00672033"/>
    <w:p w:rsidR="00574E32" w:rsidRDefault="0088156D">
      <w:pPr>
        <w:ind w:firstLine="720"/>
        <w:jc w:val="both"/>
      </w:pPr>
      <w:r>
        <w:rPr>
          <w:lang w:val="sr-Cyrl-CS"/>
        </w:rPr>
        <w:t xml:space="preserve">Грађевинско архитектонски биро „Најинжењеринг“ Сурдулица, ул. Српских владара бб, МБ </w:t>
      </w:r>
      <w:r w:rsidR="00AF135E" w:rsidRPr="00AF135E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AF135E" w:rsidRPr="00AF135E">
        <w:rPr>
          <w:highlight w:val="black"/>
          <w:lang w:val="sr-Cyrl-CS"/>
        </w:rPr>
        <w:t>ххххх</w:t>
      </w:r>
      <w:r>
        <w:rPr>
          <w:lang w:val="sr-Cyrl-CS"/>
        </w:rPr>
        <w:t>, чији је законски заступник Велимир Најдановић,</w:t>
      </w:r>
      <w:r w:rsidRPr="005278E5"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Дринске</w:t>
      </w:r>
      <w:proofErr w:type="spellEnd"/>
      <w:r>
        <w:t xml:space="preserve"> </w:t>
      </w:r>
      <w:proofErr w:type="spellStart"/>
      <w:r>
        <w:t>дивизије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4/7</w:t>
      </w:r>
      <w:r>
        <w:rPr>
          <w:lang w:val="sr-Cyrl-CS"/>
        </w:rPr>
        <w:t xml:space="preserve">, Сурдулица ЈМБГ </w:t>
      </w:r>
      <w:r w:rsidR="00AF135E" w:rsidRPr="00AF135E">
        <w:rPr>
          <w:highlight w:val="black"/>
          <w:lang w:val="sr-Cyrl-CS"/>
        </w:rPr>
        <w:t>ххххх</w:t>
      </w:r>
      <w:r>
        <w:rPr>
          <w:lang w:val="sr-Cyrl-CS"/>
        </w:rPr>
        <w:t xml:space="preserve">, а у име Цветковић Владице из села Прекодолце, Владичин Хан ЈМБГ </w:t>
      </w:r>
      <w:r w:rsidR="00AF135E" w:rsidRPr="00AF135E">
        <w:rPr>
          <w:highlight w:val="black"/>
          <w:lang w:val="sr-Cyrl-CS"/>
        </w:rPr>
        <w:t>ххххх</w:t>
      </w:r>
      <w:proofErr w:type="gramStart"/>
      <w:r w:rsidR="00672033">
        <w:t xml:space="preserve">,  </w:t>
      </w:r>
      <w:proofErr w:type="spellStart"/>
      <w:r w:rsidR="00672033">
        <w:t>подне</w:t>
      </w:r>
      <w:r>
        <w:t>о</w:t>
      </w:r>
      <w:proofErr w:type="spellEnd"/>
      <w:proofErr w:type="gramEnd"/>
      <w:r w:rsidR="00672033">
        <w:t xml:space="preserve"> </w:t>
      </w:r>
      <w:proofErr w:type="spellStart"/>
      <w:r w:rsidR="00672033">
        <w:t>је</w:t>
      </w:r>
      <w:proofErr w:type="spellEnd"/>
      <w:r w:rsidR="00672033">
        <w:t xml:space="preserve"> </w:t>
      </w:r>
      <w:proofErr w:type="spellStart"/>
      <w:r w:rsidR="00672033">
        <w:t>захтев</w:t>
      </w:r>
      <w:proofErr w:type="spellEnd"/>
      <w:r w:rsidR="00672033">
        <w:t xml:space="preserve"> </w:t>
      </w:r>
      <w:proofErr w:type="spellStart"/>
      <w:r w:rsidR="00672033">
        <w:t>овом</w:t>
      </w:r>
      <w:proofErr w:type="spellEnd"/>
      <w:r w:rsidR="00672033">
        <w:t xml:space="preserve"> </w:t>
      </w:r>
      <w:proofErr w:type="spellStart"/>
      <w:r w:rsidR="00672033">
        <w:t>органу</w:t>
      </w:r>
      <w:proofErr w:type="spellEnd"/>
      <w:r w:rsidR="00672033">
        <w:t xml:space="preserve"> у </w:t>
      </w:r>
      <w:proofErr w:type="spellStart"/>
      <w:r w:rsidR="00672033">
        <w:t>својству</w:t>
      </w:r>
      <w:proofErr w:type="spellEnd"/>
      <w:r w:rsidR="00672033">
        <w:t xml:space="preserve"> </w:t>
      </w:r>
      <w:proofErr w:type="spellStart"/>
      <w:r w:rsidR="00672033">
        <w:t>пуномоћника</w:t>
      </w:r>
      <w:proofErr w:type="spellEnd"/>
      <w:r w:rsidR="00672033">
        <w:t xml:space="preserve">, </w:t>
      </w:r>
      <w:proofErr w:type="spellStart"/>
      <w:r w:rsidR="00672033">
        <w:t>под</w:t>
      </w:r>
      <w:proofErr w:type="spellEnd"/>
      <w:r w:rsidR="00672033">
        <w:t xml:space="preserve"> </w:t>
      </w:r>
      <w:proofErr w:type="spellStart"/>
      <w:r w:rsidR="00672033">
        <w:t>бројем</w:t>
      </w:r>
      <w:proofErr w:type="spellEnd"/>
      <w:r w:rsidR="00672033">
        <w:t xml:space="preserve"> 350-4</w:t>
      </w:r>
      <w:r>
        <w:t>7</w:t>
      </w:r>
      <w:r w:rsidR="00672033">
        <w:t>/2015-04 (ROP-HAN-8</w:t>
      </w:r>
      <w:r>
        <w:t>086</w:t>
      </w:r>
      <w:r w:rsidR="00672033">
        <w:t>-LOCH-2/2016)</w:t>
      </w:r>
      <w:r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издавање</w:t>
      </w:r>
      <w:proofErr w:type="spellEnd"/>
      <w:r w:rsidR="00672033">
        <w:t xml:space="preserve"> </w:t>
      </w:r>
      <w:proofErr w:type="spellStart"/>
      <w:r w:rsidR="00672033">
        <w:t>локацијских</w:t>
      </w:r>
      <w:proofErr w:type="spellEnd"/>
      <w:r w:rsidR="00672033">
        <w:t xml:space="preserve"> </w:t>
      </w:r>
      <w:proofErr w:type="spellStart"/>
      <w:r w:rsidR="00672033">
        <w:t>услова</w:t>
      </w:r>
      <w:proofErr w:type="spellEnd"/>
      <w:r w:rsidR="00672033">
        <w:t xml:space="preserve"> </w:t>
      </w:r>
      <w:r w:rsidRPr="0088156D">
        <w:rPr>
          <w:lang w:val="sr-Cyrl-CS"/>
        </w:rPr>
        <w:t>за изградњу индустријског објекта за производњу школског намештаја на кп.бр. 586/2,586/3 и 580/2 КО Прекодолце</w:t>
      </w:r>
      <w:r w:rsidR="00672033">
        <w:rPr>
          <w:lang w:val="en-US"/>
        </w:rPr>
        <w:t>,</w:t>
      </w:r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>
        <w:t>Б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r>
        <w:t>125101</w:t>
      </w:r>
      <w:r w:rsidR="00672033">
        <w:t xml:space="preserve">, </w:t>
      </w:r>
      <w:proofErr w:type="spellStart"/>
      <w:r w:rsidR="00672033">
        <w:t>инвеститору</w:t>
      </w:r>
      <w:proofErr w:type="spellEnd"/>
      <w:r w:rsidR="00672033">
        <w:t xml:space="preserve"> </w:t>
      </w:r>
      <w:r>
        <w:rPr>
          <w:lang w:val="sr-Cyrl-CS"/>
        </w:rPr>
        <w:t xml:space="preserve">Цветковић Владици из села Прекодолце, </w:t>
      </w:r>
      <w:r w:rsidR="00672033">
        <w:t xml:space="preserve">а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основу</w:t>
      </w:r>
      <w:proofErr w:type="spellEnd"/>
      <w:r w:rsidR="00672033">
        <w:t xml:space="preserve"> </w:t>
      </w:r>
      <w:proofErr w:type="spellStart"/>
      <w:r w:rsidR="00672033">
        <w:t>члана</w:t>
      </w:r>
      <w:proofErr w:type="spellEnd"/>
      <w:r w:rsidR="00672033">
        <w:t xml:space="preserve"> 53а. </w:t>
      </w:r>
      <w:r w:rsidR="00672033">
        <w:rPr>
          <w:lang w:val="en-US"/>
        </w:rPr>
        <w:t>54</w:t>
      </w:r>
      <w:r w:rsidR="00672033">
        <w:t xml:space="preserve">. </w:t>
      </w:r>
      <w:r w:rsidR="00672033">
        <w:rPr>
          <w:lang w:val="en-US"/>
        </w:rPr>
        <w:t>55</w:t>
      </w:r>
      <w:r w:rsidR="00672033">
        <w:t xml:space="preserve">. </w:t>
      </w:r>
      <w:proofErr w:type="gramStart"/>
      <w:r w:rsidR="00672033">
        <w:rPr>
          <w:lang w:val="en-US"/>
        </w:rPr>
        <w:t>56</w:t>
      </w:r>
      <w:r w:rsidR="00672033">
        <w:t>.и 57.</w:t>
      </w:r>
      <w:proofErr w:type="gramEnd"/>
      <w:r w:rsidR="00672033">
        <w:t xml:space="preserve"> </w:t>
      </w:r>
      <w:proofErr w:type="spellStart"/>
      <w:proofErr w:type="gramStart"/>
      <w:r w:rsidR="00672033">
        <w:t>Закона</w:t>
      </w:r>
      <w:proofErr w:type="spellEnd"/>
      <w:r w:rsidR="00672033">
        <w:t xml:space="preserve"> о </w:t>
      </w:r>
      <w:proofErr w:type="spellStart"/>
      <w:r w:rsidR="00672033">
        <w:t>планирању</w:t>
      </w:r>
      <w:proofErr w:type="spellEnd"/>
      <w:r w:rsidR="00672033">
        <w:t xml:space="preserve"> и </w:t>
      </w:r>
      <w:proofErr w:type="spellStart"/>
      <w:r w:rsidR="00672033">
        <w:t>изградњи</w:t>
      </w:r>
      <w:proofErr w:type="spellEnd"/>
      <w:r w:rsidR="00672033">
        <w:t xml:space="preserve"> РС („</w:t>
      </w:r>
      <w:proofErr w:type="spellStart"/>
      <w:r w:rsidR="00672033">
        <w:t>Сл</w:t>
      </w:r>
      <w:proofErr w:type="spellEnd"/>
      <w:r w:rsidR="00672033">
        <w:t xml:space="preserve">. </w:t>
      </w:r>
      <w:proofErr w:type="spellStart"/>
      <w:r w:rsidR="00672033">
        <w:t>Гласник</w:t>
      </w:r>
      <w:proofErr w:type="spellEnd"/>
      <w:r w:rsidR="00672033">
        <w:t xml:space="preserve"> РС“, </w:t>
      </w:r>
      <w:proofErr w:type="spellStart"/>
      <w:r w:rsidR="00672033">
        <w:t>број</w:t>
      </w:r>
      <w:proofErr w:type="spellEnd"/>
      <w:r w:rsidR="00672033">
        <w:t xml:space="preserve"> 72/09, 81/09, 24/2011, 121/2012, 132/2014 и 145/2014).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proofErr w:type="gram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proofErr w:type="gramEnd"/>
      <w:r>
        <w:t xml:space="preserve"> </w:t>
      </w:r>
      <w:proofErr w:type="spellStart"/>
      <w:r>
        <w:t>изградње</w:t>
      </w:r>
      <w:proofErr w:type="spellEnd"/>
      <w:r>
        <w:t>,</w:t>
      </w:r>
      <w:r w:rsidR="00421F02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 w:rsidR="00421F02">
        <w:rPr>
          <w:lang w:val="sr-Cyrl-CS"/>
        </w:rPr>
        <w:t xml:space="preserve">Грађевинско архитектонског бироа „Најинжењеринг“ Сурдулица, ул. Српских владара бб,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421F02">
        <w:t xml:space="preserve">15/2016, </w:t>
      </w:r>
      <w:proofErr w:type="spellStart"/>
      <w:r w:rsidR="00421F02">
        <w:t>април</w:t>
      </w:r>
      <w:proofErr w:type="spellEnd"/>
      <w:r w:rsidR="00421F02">
        <w:t xml:space="preserve"> 2016</w:t>
      </w:r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953-1/2016-7</w:t>
      </w:r>
      <w:r w:rsidR="00421F02">
        <w:t>6</w:t>
      </w:r>
      <w:r>
        <w:rPr>
          <w:lang w:val="en-US"/>
        </w:rPr>
        <w:t xml:space="preserve"> </w:t>
      </w:r>
      <w:proofErr w:type="spellStart"/>
      <w:r>
        <w:t>од</w:t>
      </w:r>
      <w:proofErr w:type="spellEnd"/>
      <w:r>
        <w:t xml:space="preserve"> 18.05.2016.године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>956-01-</w:t>
      </w:r>
      <w:r w:rsidR="00421F02">
        <w:t>5</w:t>
      </w:r>
      <w:r>
        <w:t xml:space="preserve">/2016 </w:t>
      </w:r>
      <w:proofErr w:type="spellStart"/>
      <w:r>
        <w:t>од</w:t>
      </w:r>
      <w:proofErr w:type="spellEnd"/>
      <w:r>
        <w:t xml:space="preserve"> 18.05.2016.године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lastRenderedPageBreak/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локацијске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E32" w:rsidRDefault="00574E32">
      <w:pPr>
        <w:jc w:val="both"/>
      </w:pP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  <w:t xml:space="preserve">       </w:t>
      </w:r>
      <w:r>
        <w:rPr>
          <w:b/>
        </w:rPr>
        <w:t>РУКОВОДИЛАЦ ОДЕЉЕЊА</w:t>
      </w: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574E32" w:rsidRDefault="00574E32">
      <w:pPr>
        <w:jc w:val="both"/>
      </w:pPr>
    </w:p>
    <w:p w:rsidR="00574E32" w:rsidRDefault="00574E32">
      <w:pPr>
        <w:tabs>
          <w:tab w:val="left" w:pos="8355"/>
        </w:tabs>
      </w:pPr>
    </w:p>
    <w:sectPr w:rsidR="00574E32" w:rsidSect="00574E32">
      <w:pgSz w:w="11906" w:h="16838"/>
      <w:pgMar w:top="567" w:right="1418" w:bottom="28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DDD3C6A"/>
    <w:multiLevelType w:val="multilevel"/>
    <w:tmpl w:val="D2F22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1D4042"/>
    <w:multiLevelType w:val="hybridMultilevel"/>
    <w:tmpl w:val="C1381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A20CF"/>
    <w:multiLevelType w:val="multilevel"/>
    <w:tmpl w:val="9942EDD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4">
    <w:nsid w:val="6FAD0C05"/>
    <w:multiLevelType w:val="multilevel"/>
    <w:tmpl w:val="20CC9300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b/>
      </w:rPr>
    </w:lvl>
  </w:abstractNum>
  <w:abstractNum w:abstractNumId="5">
    <w:nsid w:val="6FC777CC"/>
    <w:multiLevelType w:val="multilevel"/>
    <w:tmpl w:val="38B86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</w:rPr>
    </w:lvl>
  </w:abstractNum>
  <w:abstractNum w:abstractNumId="6">
    <w:nsid w:val="745525C9"/>
    <w:multiLevelType w:val="multilevel"/>
    <w:tmpl w:val="99DC2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7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efaultTabStop w:val="720"/>
  <w:characterSpacingControl w:val="doNotCompress"/>
  <w:compat/>
  <w:rsids>
    <w:rsidRoot w:val="00574E32"/>
    <w:rsid w:val="0023654F"/>
    <w:rsid w:val="00421F02"/>
    <w:rsid w:val="00574E32"/>
    <w:rsid w:val="00586A69"/>
    <w:rsid w:val="00672033"/>
    <w:rsid w:val="0088156D"/>
    <w:rsid w:val="009A0612"/>
    <w:rsid w:val="00AF135E"/>
    <w:rsid w:val="00C27AC3"/>
    <w:rsid w:val="00CA728C"/>
    <w:rsid w:val="00E6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A3"/>
    <w:pPr>
      <w:suppressAutoHyphens/>
    </w:pPr>
    <w:rPr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4E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9C167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574E32"/>
    <w:rPr>
      <w:rFonts w:eastAsia="Times New Roman" w:cs="Times New Roman"/>
    </w:rPr>
  </w:style>
  <w:style w:type="character" w:customStyle="1" w:styleId="ListLabel2">
    <w:name w:val="ListLabel 2"/>
    <w:qFormat/>
    <w:rsid w:val="00574E32"/>
    <w:rPr>
      <w:rFonts w:cs="Courier New"/>
    </w:rPr>
  </w:style>
  <w:style w:type="character" w:customStyle="1" w:styleId="ListLabel3">
    <w:name w:val="ListLabel 3"/>
    <w:qFormat/>
    <w:rsid w:val="00574E32"/>
    <w:rPr>
      <w:rFonts w:cs="Times New Roman"/>
    </w:rPr>
  </w:style>
  <w:style w:type="character" w:customStyle="1" w:styleId="ListLabel4">
    <w:name w:val="ListLabel 4"/>
    <w:qFormat/>
    <w:rsid w:val="00574E32"/>
    <w:rPr>
      <w:rFonts w:cs="Symbol"/>
      <w:b/>
    </w:rPr>
  </w:style>
  <w:style w:type="character" w:customStyle="1" w:styleId="ListLabel5">
    <w:name w:val="ListLabel 5"/>
    <w:qFormat/>
    <w:rsid w:val="00574E32"/>
    <w:rPr>
      <w:rFonts w:cs="Courier New"/>
    </w:rPr>
  </w:style>
  <w:style w:type="character" w:customStyle="1" w:styleId="ListLabel6">
    <w:name w:val="ListLabel 6"/>
    <w:qFormat/>
    <w:rsid w:val="00574E32"/>
    <w:rPr>
      <w:rFonts w:cs="Wingdings"/>
      <w:b/>
    </w:rPr>
  </w:style>
  <w:style w:type="character" w:customStyle="1" w:styleId="ListLabel7">
    <w:name w:val="ListLabel 7"/>
    <w:qFormat/>
    <w:rsid w:val="00574E32"/>
    <w:rPr>
      <w:rFonts w:cs="Symbol"/>
      <w:b/>
    </w:rPr>
  </w:style>
  <w:style w:type="character" w:customStyle="1" w:styleId="ListLabel8">
    <w:name w:val="ListLabel 8"/>
    <w:qFormat/>
    <w:rsid w:val="00574E32"/>
    <w:rPr>
      <w:rFonts w:cs="Courier New"/>
    </w:rPr>
  </w:style>
  <w:style w:type="character" w:customStyle="1" w:styleId="ListLabel9">
    <w:name w:val="ListLabel 9"/>
    <w:qFormat/>
    <w:rsid w:val="00574E32"/>
    <w:rPr>
      <w:rFonts w:cs="Wingdings"/>
      <w:b/>
    </w:rPr>
  </w:style>
  <w:style w:type="character" w:customStyle="1" w:styleId="ListLabel10">
    <w:name w:val="ListLabel 10"/>
    <w:qFormat/>
    <w:rsid w:val="00574E32"/>
    <w:rPr>
      <w:rFonts w:cs="Wingdings"/>
      <w:b/>
    </w:rPr>
  </w:style>
  <w:style w:type="character" w:customStyle="1" w:styleId="ListLabel11">
    <w:name w:val="ListLabel 11"/>
    <w:qFormat/>
    <w:rsid w:val="00574E32"/>
    <w:rPr>
      <w:rFonts w:cs="Symbol"/>
      <w:b/>
    </w:rPr>
  </w:style>
  <w:style w:type="character" w:customStyle="1" w:styleId="ListLabel12">
    <w:name w:val="ListLabel 12"/>
    <w:qFormat/>
    <w:rsid w:val="00574E32"/>
    <w:rPr>
      <w:rFonts w:cs="Courier New"/>
    </w:rPr>
  </w:style>
  <w:style w:type="character" w:customStyle="1" w:styleId="ListLabel13">
    <w:name w:val="ListLabel 13"/>
    <w:qFormat/>
    <w:rsid w:val="00574E32"/>
    <w:rPr>
      <w:rFonts w:cs="Wingdings"/>
      <w:b/>
    </w:rPr>
  </w:style>
  <w:style w:type="character" w:customStyle="1" w:styleId="NumberingSymbols">
    <w:name w:val="Numbering Symbols"/>
    <w:qFormat/>
    <w:rsid w:val="00574E32"/>
  </w:style>
  <w:style w:type="character" w:customStyle="1" w:styleId="ListLabel14">
    <w:name w:val="ListLabel 14"/>
    <w:qFormat/>
    <w:rsid w:val="00574E32"/>
    <w:rPr>
      <w:rFonts w:cs="Symbol"/>
      <w:b/>
    </w:rPr>
  </w:style>
  <w:style w:type="character" w:customStyle="1" w:styleId="ListLabel15">
    <w:name w:val="ListLabel 15"/>
    <w:qFormat/>
    <w:rsid w:val="00574E32"/>
    <w:rPr>
      <w:rFonts w:cs="Courier New"/>
    </w:rPr>
  </w:style>
  <w:style w:type="character" w:customStyle="1" w:styleId="ListLabel16">
    <w:name w:val="ListLabel 16"/>
    <w:qFormat/>
    <w:rsid w:val="00574E32"/>
    <w:rPr>
      <w:rFonts w:cs="Wingdings"/>
      <w:b/>
    </w:rPr>
  </w:style>
  <w:style w:type="character" w:customStyle="1" w:styleId="ListLabel17">
    <w:name w:val="ListLabel 17"/>
    <w:qFormat/>
    <w:rsid w:val="00574E32"/>
    <w:rPr>
      <w:rFonts w:cs="Wingdings"/>
      <w:b/>
    </w:rPr>
  </w:style>
  <w:style w:type="paragraph" w:customStyle="1" w:styleId="Heading">
    <w:name w:val="Heading"/>
    <w:basedOn w:val="Normal"/>
    <w:next w:val="TextBody"/>
    <w:qFormat/>
    <w:rsid w:val="00574E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574E32"/>
    <w:pPr>
      <w:spacing w:after="140" w:line="288" w:lineRule="auto"/>
    </w:pPr>
  </w:style>
  <w:style w:type="paragraph" w:styleId="List">
    <w:name w:val="List"/>
    <w:basedOn w:val="TextBody"/>
    <w:rsid w:val="00574E32"/>
    <w:rPr>
      <w:rFonts w:cs="Lucida Sans"/>
    </w:rPr>
  </w:style>
  <w:style w:type="paragraph" w:styleId="Caption">
    <w:name w:val="caption"/>
    <w:basedOn w:val="Normal"/>
    <w:qFormat/>
    <w:rsid w:val="00574E3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74E3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033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C1672"/>
    <w:rPr>
      <w:rFonts w:ascii="Tahoma" w:hAnsi="Tahoma" w:cs="Tahoma"/>
      <w:sz w:val="16"/>
      <w:szCs w:val="16"/>
    </w:rPr>
  </w:style>
  <w:style w:type="paragraph" w:customStyle="1" w:styleId="Uvlaenjetelateksta21">
    <w:name w:val="Uvlačenje tela teksta 21"/>
    <w:basedOn w:val="Normal"/>
    <w:qFormat/>
    <w:rsid w:val="007769DF"/>
    <w:pPr>
      <w:ind w:firstLine="1080"/>
      <w:jc w:val="both"/>
    </w:pPr>
    <w:rPr>
      <w:lang w:eastAsia="ar-SA"/>
    </w:rPr>
  </w:style>
  <w:style w:type="paragraph" w:customStyle="1" w:styleId="TEKST">
    <w:name w:val="TEKST"/>
    <w:basedOn w:val="Normal"/>
    <w:qFormat/>
    <w:rsid w:val="007769DF"/>
    <w:pPr>
      <w:spacing w:before="120" w:after="120"/>
      <w:ind w:firstLine="851"/>
      <w:jc w:val="both"/>
    </w:pPr>
    <w:rPr>
      <w:rFonts w:eastAsiaTheme="minorEastAsia"/>
      <w:color w:val="000000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Vladicin Han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2015-12-02T07:33:00Z</cp:lastPrinted>
  <dcterms:created xsi:type="dcterms:W3CDTF">2016-06-13T11:56:00Z</dcterms:created>
  <dcterms:modified xsi:type="dcterms:W3CDTF">2016-06-13T11:56:00Z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 Vladicin Han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