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lang w:val="sr-CS"/>
        </w:rPr>
      </w:pPr>
      <w:r>
        <w:rPr>
          <w:b/>
          <w:bCs/>
          <w:lang w:val="sr-CS"/>
        </w:rPr>
        <w:t>Република Србија</w:t>
      </w:r>
    </w:p>
    <w:p>
      <w:pPr>
        <w:pStyle w:val="Normal"/>
        <w:jc w:val="both"/>
        <w:rPr>
          <w:b/>
          <w:b/>
          <w:bCs/>
          <w:lang w:val="sr-CS"/>
        </w:rPr>
      </w:pPr>
      <w:r>
        <w:rPr>
          <w:b/>
          <w:bCs/>
          <w:lang w:val="sr-CS"/>
        </w:rPr>
        <w:t>ОПШТИНСКА УПРАВА  ВЛАДИЧИН ХАН</w:t>
      </w:r>
    </w:p>
    <w:p>
      <w:pPr>
        <w:pStyle w:val="Normal"/>
        <w:jc w:val="both"/>
        <w:rPr>
          <w:bCs/>
          <w:lang w:val="sr-CS"/>
        </w:rPr>
      </w:pPr>
      <w:r>
        <w:rPr>
          <w:bCs/>
          <w:lang w:val="sr-CS"/>
        </w:rPr>
        <w:t>Одељење за урбанизам, имовинско-правне,</w:t>
      </w:r>
    </w:p>
    <w:p>
      <w:pPr>
        <w:pStyle w:val="Normal"/>
        <w:jc w:val="both"/>
        <w:rPr>
          <w:b/>
          <w:b/>
          <w:bCs/>
          <w:lang w:val="sr-CS"/>
        </w:rPr>
      </w:pPr>
      <w:r>
        <w:rPr>
          <w:bCs/>
          <w:lang w:val="sr-CS"/>
        </w:rPr>
        <w:t>комуналне и грађевинске послове</w:t>
      </w:r>
      <w:r>
        <w:rPr>
          <w:b/>
          <w:bCs/>
          <w:lang w:val="sr-CS"/>
        </w:rPr>
        <w:tab/>
        <w:tab/>
      </w:r>
    </w:p>
    <w:p>
      <w:pPr>
        <w:pStyle w:val="Normal"/>
        <w:jc w:val="both"/>
        <w:rPr/>
      </w:pPr>
      <w:r>
        <w:rPr>
          <w:b/>
          <w:bCs/>
          <w:lang w:val="sr-CS"/>
        </w:rPr>
        <w:t>Број: 35</w:t>
      </w:r>
      <w:r>
        <w:rPr>
          <w:b/>
          <w:bCs/>
          <w:lang w:val="en-US"/>
        </w:rPr>
        <w:t>0</w:t>
      </w:r>
      <w:r>
        <w:rPr>
          <w:b/>
          <w:bCs/>
          <w:lang w:val="sr-CS"/>
        </w:rPr>
        <w:t>-</w:t>
      </w:r>
      <w:r>
        <w:rPr>
          <w:b/>
          <w:bCs/>
          <w:lang w:val="sr-RS"/>
        </w:rPr>
        <w:t>46</w:t>
      </w:r>
      <w:r>
        <w:rPr>
          <w:b/>
          <w:bCs/>
          <w:lang w:val="sr-CS"/>
        </w:rPr>
        <w:t>/20</w:t>
      </w:r>
      <w:r>
        <w:rPr>
          <w:b/>
          <w:bCs/>
          <w:lang w:val="en-US"/>
        </w:rPr>
        <w:t>1</w:t>
      </w:r>
      <w:r>
        <w:rPr>
          <w:b/>
          <w:bCs/>
          <w:lang w:val="sr-RS"/>
        </w:rPr>
        <w:t>6</w:t>
      </w:r>
      <w:r>
        <w:rPr>
          <w:b/>
          <w:bCs/>
          <w:lang w:val="sr-CS"/>
        </w:rPr>
        <w:t>-04</w:t>
      </w:r>
    </w:p>
    <w:p>
      <w:pPr>
        <w:pStyle w:val="Normal"/>
        <w:jc w:val="both"/>
        <w:rPr>
          <w:rFonts w:ascii="Times New Roman" w:hAnsi="Times New Roman"/>
        </w:rPr>
      </w:pPr>
      <w:r>
        <w:rPr>
          <w:b/>
          <w:bCs/>
          <w:sz w:val="24"/>
          <w:lang w:val="sr-CS"/>
        </w:rPr>
        <w:t>ROP-HAN-8432-LOCH-2/2016</w:t>
      </w:r>
    </w:p>
    <w:p>
      <w:pPr>
        <w:pStyle w:val="Normal"/>
        <w:jc w:val="both"/>
        <w:rPr/>
      </w:pPr>
      <w:r>
        <w:rPr>
          <w:b/>
          <w:bCs/>
          <w:lang w:val="sr-RS"/>
        </w:rPr>
        <w:t>03</w:t>
      </w:r>
      <w:r>
        <w:rPr>
          <w:b/>
          <w:bCs/>
          <w:lang w:val="en-US"/>
        </w:rPr>
        <w:t>.</w:t>
      </w:r>
      <w:r>
        <w:rPr>
          <w:b/>
          <w:bCs/>
          <w:lang w:val="sr-RS"/>
        </w:rPr>
        <w:t>06</w:t>
      </w:r>
      <w:r>
        <w:rPr>
          <w:b/>
          <w:bCs/>
          <w:lang w:val="en-US"/>
        </w:rPr>
        <w:t>.201</w:t>
      </w:r>
      <w:r>
        <w:rPr>
          <w:b/>
          <w:bCs/>
          <w:lang w:val="sr-RS"/>
        </w:rPr>
        <w:t>6</w:t>
      </w:r>
      <w:r>
        <w:rPr>
          <w:b/>
          <w:bCs/>
          <w:lang w:val="sr-CS"/>
        </w:rPr>
        <w:t>.године</w:t>
      </w:r>
    </w:p>
    <w:p>
      <w:pPr>
        <w:pStyle w:val="Normal"/>
        <w:jc w:val="both"/>
        <w:rPr>
          <w:b/>
          <w:b/>
          <w:bCs/>
          <w:lang w:val="sr-CS"/>
        </w:rPr>
      </w:pPr>
      <w:r>
        <w:rPr>
          <w:b/>
          <w:bCs/>
          <w:lang w:val="sr-CS"/>
        </w:rPr>
        <w:t>ВЛАДИЧИН ХАН</w:t>
      </w:r>
    </w:p>
    <w:p>
      <w:pPr>
        <w:pStyle w:val="Normal"/>
        <w:jc w:val="both"/>
        <w:rPr>
          <w:b/>
          <w:b/>
          <w:bCs/>
          <w:lang w:val="sr-CS"/>
        </w:rPr>
      </w:pPr>
      <w:r>
        <w:rPr>
          <w:b/>
          <w:bCs/>
          <w:lang w:val="sr-CS"/>
        </w:rPr>
      </w:r>
    </w:p>
    <w:p>
      <w:pPr>
        <w:pStyle w:val="Normal"/>
        <w:jc w:val="both"/>
        <w:rPr>
          <w:lang w:val="sr-CS"/>
        </w:rPr>
      </w:pPr>
      <w:r>
        <w:rPr>
          <w:lang w:val="sr-CS"/>
        </w:rPr>
      </w:r>
    </w:p>
    <w:p>
      <w:pPr>
        <w:pStyle w:val="Normal"/>
        <w:ind w:left="0" w:hanging="0"/>
        <w:jc w:val="both"/>
        <w:rPr/>
      </w:pPr>
      <w:r>
        <w:rPr>
          <w:lang w:val="sr-CS"/>
        </w:rPr>
        <w:t>Одељење за урбанизам, имовинско-правне, комуналне и грађевинске послове</w:t>
      </w:r>
      <w:r>
        <w:rPr>
          <w:lang w:val="en-US"/>
        </w:rPr>
        <w:t xml:space="preserve"> </w:t>
      </w:r>
      <w:r>
        <w:rPr>
          <w:lang w:val="sr-CS"/>
        </w:rPr>
        <w:t xml:space="preserve">Општинске управе Општине  Владичин Хан, решавајући по захтеву </w:t>
      </w:r>
      <w:r>
        <w:rPr>
          <w:lang w:val="sr-RS"/>
        </w:rPr>
        <w:t xml:space="preserve">пуномоћника </w:t>
      </w:r>
      <w:r>
        <w:rPr>
          <w:lang w:val="en-US"/>
        </w:rPr>
        <w:t>JП Дирекција за грађевинско земљиште и путеве</w:t>
      </w:r>
      <w:r>
        <w:rPr>
          <w:lang w:val="sr-CS"/>
        </w:rPr>
        <w:t xml:space="preserve">, </w:t>
      </w:r>
      <w:r>
        <w:rPr>
          <w:shd w:fill="000000" w:val="clear"/>
          <w:lang w:val="en-US"/>
        </w:rPr>
        <w:t>xxxxxx</w:t>
      </w:r>
      <w:r>
        <w:rPr>
          <w:lang w:val="sr-CS"/>
        </w:rPr>
        <w:t xml:space="preserve">, </w:t>
      </w:r>
      <w:r>
        <w:rPr>
          <w:lang w:val="sr-RS"/>
        </w:rPr>
        <w:t xml:space="preserve">а у име  Општине Владичин Хан, </w:t>
      </w:r>
      <w:r>
        <w:rPr>
          <w:shd w:fill="000000" w:val="clear"/>
          <w:lang w:val="en-US"/>
        </w:rPr>
        <w:t>xxxxxx</w:t>
      </w:r>
      <w:r>
        <w:rPr>
          <w:lang w:val="sr-CS"/>
        </w:rPr>
        <w:t xml:space="preserve">, на основу члана 53а. </w:t>
      </w:r>
      <w:r>
        <w:rPr>
          <w:lang w:val="en-US"/>
        </w:rPr>
        <w:t>54</w:t>
      </w:r>
      <w:r>
        <w:rPr>
          <w:lang w:val="sr-CS"/>
        </w:rPr>
        <w:t xml:space="preserve">. </w:t>
      </w:r>
      <w:r>
        <w:rPr>
          <w:lang w:val="en-US"/>
        </w:rPr>
        <w:t>55</w:t>
      </w:r>
      <w:r>
        <w:rPr>
          <w:lang w:val="sr-CS"/>
        </w:rPr>
        <w:t xml:space="preserve">. </w:t>
      </w:r>
      <w:r>
        <w:rPr>
          <w:lang w:val="en-US"/>
        </w:rPr>
        <w:t>56</w:t>
      </w:r>
      <w:r>
        <w:rPr>
          <w:lang w:val="sr-CS"/>
        </w:rPr>
        <w:t>.</w:t>
      </w:r>
      <w:r>
        <w:rPr>
          <w:lang w:val="en-US"/>
        </w:rPr>
        <w:t xml:space="preserve"> </w:t>
      </w:r>
      <w:r>
        <w:rPr>
          <w:lang w:val="sr-CS"/>
        </w:rPr>
        <w:t xml:space="preserve">и 57. Закона о планирању и изградњи РС („Сл. Гласник РС“, број 72/09, 81/09, 24/2011, 121/2012, 132/2014 и 145/2014), Правилника о класификацији објеката („Сл. Гласник РС“, број 22/2015), Правилника о </w:t>
      </w:r>
      <w:r>
        <w:rPr>
          <w:lang w:val="sr-RS"/>
        </w:rPr>
        <w:t xml:space="preserve">поступку спровођења </w:t>
      </w:r>
      <w:r>
        <w:rPr>
          <w:lang w:val="sr-CS"/>
        </w:rPr>
        <w:t>обједињ</w:t>
      </w:r>
      <w:r>
        <w:rPr>
          <w:lang w:val="sr-RS"/>
        </w:rPr>
        <w:t>ене</w:t>
      </w:r>
      <w:r>
        <w:rPr>
          <w:lang w:val="sr-CS"/>
        </w:rPr>
        <w:t xml:space="preserve"> процедур</w:t>
      </w:r>
      <w:r>
        <w:rPr>
          <w:lang w:val="sr-RS"/>
        </w:rPr>
        <w:t>е електронским путем</w:t>
      </w:r>
      <w:r>
        <w:rPr>
          <w:lang w:val="sr-CS"/>
        </w:rPr>
        <w:t xml:space="preserve"> („Сл. Гласник РС“, број </w:t>
      </w:r>
      <w:r>
        <w:rPr>
          <w:lang w:val="sr-RS"/>
        </w:rPr>
        <w:t>113</w:t>
      </w:r>
      <w:r>
        <w:rPr>
          <w:lang w:val="sr-CS"/>
        </w:rPr>
        <w:t xml:space="preserve">/2015) </w:t>
      </w:r>
      <w:r>
        <w:rPr>
          <w:lang w:val="en-US"/>
        </w:rPr>
        <w:t>и</w:t>
      </w:r>
      <w:r>
        <w:rPr>
          <w:lang w:val="sr-CS"/>
        </w:rPr>
        <w:t xml:space="preserve"> Просторног плана Општине  Владичин Хан („Сл. Гласник Града Врања“, број 22/2010), издаје</w:t>
      </w:r>
    </w:p>
    <w:p>
      <w:pPr>
        <w:pStyle w:val="Normal"/>
        <w:jc w:val="both"/>
        <w:rPr>
          <w:lang w:val="sr-CS"/>
        </w:rPr>
      </w:pPr>
      <w:r>
        <w:rPr>
          <w:lang w:val="sr-CS"/>
        </w:rPr>
      </w:r>
    </w:p>
    <w:p>
      <w:pPr>
        <w:pStyle w:val="Normal"/>
        <w:jc w:val="both"/>
        <w:rPr>
          <w:lang w:val="en-US"/>
        </w:rPr>
      </w:pPr>
      <w:r>
        <w:rPr>
          <w:lang w:val="en-US"/>
        </w:rPr>
      </w:r>
    </w:p>
    <w:p>
      <w:pPr>
        <w:pStyle w:val="Normal"/>
        <w:jc w:val="both"/>
        <w:rPr>
          <w:lang w:val="en-US"/>
        </w:rPr>
      </w:pPr>
      <w:r>
        <w:rPr>
          <w:lang w:val="en-US"/>
        </w:rPr>
      </w:r>
    </w:p>
    <w:p>
      <w:pPr>
        <w:pStyle w:val="Normal"/>
        <w:jc w:val="center"/>
        <w:rPr/>
      </w:pPr>
      <w:r>
        <w:rPr>
          <w:b/>
          <w:lang w:val="sr-CS"/>
        </w:rPr>
        <w:t>ЛОКАЦИЈСКЕ  УСЛОВЕ</w:t>
      </w:r>
    </w:p>
    <w:p>
      <w:pPr>
        <w:pStyle w:val="Normal"/>
        <w:rPr>
          <w:lang w:val="sr-CS"/>
        </w:rPr>
      </w:pPr>
      <w:r>
        <w:rPr>
          <w:lang w:val="sr-CS"/>
        </w:rPr>
      </w:r>
    </w:p>
    <w:p>
      <w:pPr>
        <w:pStyle w:val="Normal"/>
        <w:ind w:firstLine="720"/>
        <w:jc w:val="both"/>
        <w:rPr/>
      </w:pPr>
      <w:r>
        <w:rPr>
          <w:lang w:val="sr-CS"/>
        </w:rPr>
        <w:t xml:space="preserve">за изградњу </w:t>
      </w:r>
      <w:r>
        <w:rPr>
          <w:color w:val="00000A"/>
          <w:sz w:val="24"/>
          <w:lang w:val="sr-CS"/>
        </w:rPr>
        <w:t xml:space="preserve">комплекса стамбених објеката-монтажних кућа спратности П на кп.бр. </w:t>
      </w:r>
      <w:r>
        <w:rPr>
          <w:b w:val="false"/>
          <w:bCs w:val="false"/>
          <w:color w:val="00000A"/>
          <w:sz w:val="24"/>
          <w:lang w:val="sr-CS"/>
        </w:rPr>
        <w:t xml:space="preserve">2159/2 </w:t>
      </w:r>
      <w:r>
        <w:rPr>
          <w:b w:val="false"/>
          <w:bCs w:val="false"/>
          <w:color w:val="00000A"/>
          <w:sz w:val="24"/>
          <w:lang w:val="sr-RS"/>
        </w:rPr>
        <w:t xml:space="preserve">и деловима кп.бр. </w:t>
      </w:r>
      <w:r>
        <w:rPr>
          <w:b w:val="false"/>
          <w:bCs w:val="false"/>
          <w:color w:val="00000A"/>
          <w:sz w:val="24"/>
          <w:lang w:val="sr-CS"/>
        </w:rPr>
        <w:t xml:space="preserve"> 2158/2, 2159/1, 2160, 2167/1, 2167/2, 2167/3 и 2150 све КО Прекодолце</w:t>
      </w:r>
      <w:r>
        <w:rPr>
          <w:lang w:val="sr-CS"/>
        </w:rPr>
        <w:t>, којим се утврђују урбанистичко-технички и други услови за израду техничке документације за објект</w:t>
      </w:r>
      <w:r>
        <w:rPr>
          <w:lang w:val="sr-RS"/>
        </w:rPr>
        <w:t>е</w:t>
      </w:r>
      <w:r>
        <w:rPr>
          <w:lang w:val="sr-CS"/>
        </w:rPr>
        <w:t xml:space="preserve"> категорије </w:t>
      </w:r>
      <w:r>
        <w:rPr>
          <w:lang w:val="sr-RS"/>
        </w:rPr>
        <w:t>А</w:t>
      </w:r>
      <w:r>
        <w:rPr>
          <w:lang w:val="sr-CS"/>
        </w:rPr>
        <w:t xml:space="preserve">, класификациони бр. </w:t>
      </w:r>
      <w:bookmarkStart w:id="0" w:name="__DdeLink__314_1982202330"/>
      <w:r>
        <w:rPr>
          <w:lang w:val="sr-RS"/>
        </w:rPr>
        <w:t>111011 и 112111</w:t>
      </w:r>
      <w:bookmarkEnd w:id="0"/>
      <w:r>
        <w:rPr>
          <w:lang w:val="sr-RS"/>
        </w:rPr>
        <w:t xml:space="preserve">, </w:t>
      </w:r>
      <w:bookmarkStart w:id="1" w:name="__DdeLink__788_1665051069"/>
      <w:r>
        <w:rPr>
          <w:lang w:val="sr-RS"/>
        </w:rPr>
        <w:t>инвеститору Општина Владичин Хан,</w:t>
      </w:r>
      <w:bookmarkEnd w:id="1"/>
      <w:r>
        <w:rPr>
          <w:lang w:val="sr-RS"/>
        </w:rPr>
        <w:t xml:space="preserve"> </w:t>
      </w:r>
      <w:r>
        <w:rPr>
          <w:shd w:fill="000000" w:val="clear"/>
          <w:lang w:val="en-US"/>
        </w:rPr>
        <w:t>xxxxx</w:t>
      </w:r>
      <w:r>
        <w:rPr>
          <w:lang w:val="sr-CS"/>
        </w:rPr>
        <w:t>.</w:t>
      </w:r>
    </w:p>
    <w:p>
      <w:pPr>
        <w:pStyle w:val="Normal"/>
        <w:jc w:val="both"/>
        <w:rPr>
          <w:lang w:val="sr-CS"/>
        </w:rPr>
      </w:pPr>
      <w:r>
        <w:rPr>
          <w:lang w:val="sr-CS"/>
        </w:rPr>
      </w:r>
    </w:p>
    <w:p>
      <w:pPr>
        <w:pStyle w:val="Normal"/>
        <w:ind w:firstLine="720"/>
        <w:jc w:val="both"/>
        <w:rPr/>
      </w:pPr>
      <w:r>
        <w:rPr>
          <w:lang w:val="sr-CS"/>
        </w:rPr>
        <w:t>Плански основ за издавање информације о локацији је Просторни план Општине  Владичин Хан („Сл. Гласник Града Врања“, број 22/2010) по коме је Прекодолце развијеније и популационо веће сеоско насеље.</w:t>
      </w:r>
    </w:p>
    <w:p>
      <w:pPr>
        <w:pStyle w:val="Normal"/>
        <w:ind w:firstLine="720"/>
        <w:jc w:val="both"/>
        <w:rPr>
          <w:lang w:val="sr-CS"/>
        </w:rPr>
      </w:pPr>
      <w:r>
        <w:rPr>
          <w:lang w:val="sr-CS"/>
        </w:rPr>
      </w:r>
    </w:p>
    <w:p>
      <w:pPr>
        <w:pStyle w:val="Normal"/>
        <w:ind w:firstLine="720"/>
        <w:jc w:val="both"/>
        <w:rPr/>
      </w:pPr>
      <w:r>
        <w:rPr>
          <w:lang w:val="en-US"/>
        </w:rPr>
        <w:t xml:space="preserve">Предметна локација се ослања на два </w:t>
      </w:r>
      <w:r>
        <w:rPr>
          <w:lang w:val="sr-CS"/>
        </w:rPr>
        <w:t xml:space="preserve">некатегорисана </w:t>
      </w:r>
      <w:r>
        <w:rPr>
          <w:lang w:val="en-US"/>
        </w:rPr>
        <w:t>пута</w:t>
      </w:r>
      <w:r>
        <w:rPr>
          <w:lang w:val="sr-CS"/>
        </w:rPr>
        <w:t xml:space="preserve">, и то, кп.бр. </w:t>
      </w:r>
      <w:r>
        <w:rPr>
          <w:b/>
          <w:lang w:val="sr-CS"/>
        </w:rPr>
        <w:t>2167/3 КО Прекодолце</w:t>
      </w:r>
      <w:r>
        <w:rPr>
          <w:lang w:val="sr-CS"/>
        </w:rPr>
        <w:t xml:space="preserve"> са јужне стране и кп.бр. </w:t>
      </w:r>
      <w:r>
        <w:rPr>
          <w:b/>
          <w:lang w:val="sr-CS"/>
        </w:rPr>
        <w:t>2150 КО Прекодолце</w:t>
      </w:r>
      <w:r>
        <w:rPr>
          <w:lang w:val="sr-CS"/>
        </w:rPr>
        <w:t xml:space="preserve"> са источне стране, који нису у потпуности реализовани</w:t>
      </w:r>
      <w:r>
        <w:rPr>
          <w:lang w:val="en-US"/>
        </w:rPr>
        <w:t xml:space="preserve">, те се пројектом препарцелације који је обавезан </w:t>
      </w:r>
      <w:r>
        <w:rPr>
          <w:lang w:val="sr-CS"/>
        </w:rPr>
        <w:t>предуслов за</w:t>
      </w:r>
      <w:r>
        <w:rPr>
          <w:lang w:val="en-US"/>
        </w:rPr>
        <w:t xml:space="preserve"> издавањ</w:t>
      </w:r>
      <w:r>
        <w:rPr>
          <w:lang w:val="sr-CS"/>
        </w:rPr>
        <w:t>е</w:t>
      </w:r>
      <w:r>
        <w:rPr>
          <w:lang w:val="en-US"/>
        </w:rPr>
        <w:t xml:space="preserve"> употребне дозволе</w:t>
      </w:r>
      <w:r>
        <w:rPr>
          <w:lang w:val="sr-CS"/>
        </w:rPr>
        <w:t xml:space="preserve"> може формирати угаона грађевинска парцела уз обавезу пројектанта да не доведе у питање реализацију тих уличних праваца-општинских путева у минималној ширини од </w:t>
      </w:r>
      <w:r>
        <w:rPr>
          <w:b/>
          <w:lang w:val="sr-CS"/>
        </w:rPr>
        <w:t>5,90 м</w:t>
      </w:r>
      <w:r>
        <w:rPr>
          <w:lang w:val="sr-CS"/>
        </w:rPr>
        <w:t xml:space="preserve"> (укључујући и ивичне траке од 2x0,20м)</w:t>
      </w:r>
      <w:r>
        <w:rPr>
          <w:lang w:val="en-US"/>
        </w:rPr>
        <w:t xml:space="preserve">, што </w:t>
      </w:r>
      <w:r>
        <w:rPr>
          <w:lang w:val="sr-RS"/>
        </w:rPr>
        <w:t>је</w:t>
      </w:r>
      <w:r>
        <w:rPr>
          <w:lang w:val="en-US"/>
        </w:rPr>
        <w:t xml:space="preserve"> кроз издавање услова прецизније дефиниса</w:t>
      </w:r>
      <w:r>
        <w:rPr>
          <w:lang w:val="sr-RS"/>
        </w:rPr>
        <w:t>ла</w:t>
      </w:r>
      <w:r>
        <w:rPr>
          <w:lang w:val="en-US"/>
        </w:rPr>
        <w:t xml:space="preserve"> ЈП Дирекција за грађевинско земљиште и путеве Општине Владичин Хан, у </w:t>
      </w:r>
      <w:r>
        <w:rPr>
          <w:lang w:val="sr-RS"/>
        </w:rPr>
        <w:t>смислу положаја регулационе линије</w:t>
      </w:r>
      <w:r>
        <w:rPr>
          <w:lang w:val="sr-CS"/>
        </w:rPr>
        <w:t xml:space="preserve">. За формирање грађевинске парцеле-отвореног блока у складу са претежном наменом-породично становање, може се користити и источни део кп.бр. </w:t>
      </w:r>
      <w:r>
        <w:rPr>
          <w:b/>
          <w:lang w:val="sr-CS"/>
        </w:rPr>
        <w:t>2167/1 КО Прекодолце</w:t>
      </w:r>
      <w:r>
        <w:rPr>
          <w:lang w:val="sr-CS"/>
        </w:rPr>
        <w:t xml:space="preserve">, али у складу са тим да се не угрози коришћење амбуланте која се налази на тој парцели и има употребну дозволу. </w:t>
      </w:r>
    </w:p>
    <w:p>
      <w:pPr>
        <w:pStyle w:val="Normal"/>
        <w:jc w:val="both"/>
        <w:rPr>
          <w:lang w:val="sr-CS"/>
        </w:rPr>
      </w:pPr>
      <w:r>
        <w:rPr>
          <w:lang w:val="sr-CS"/>
        </w:rPr>
        <w:tab/>
        <w:tab/>
      </w:r>
    </w:p>
    <w:p>
      <w:pPr>
        <w:pStyle w:val="Normal"/>
        <w:jc w:val="both"/>
        <w:rPr/>
      </w:pPr>
      <w:r>
        <w:rPr>
          <w:lang w:val="sr-CS"/>
        </w:rPr>
        <w:tab/>
        <w:t>Препоруке и правила уређења и грађења која важе за делове територије за које није предвиђена израда урбанистичког плана, а односе се на изградњу предметн</w:t>
      </w:r>
      <w:r>
        <w:rPr>
          <w:lang w:val="sr-RS"/>
        </w:rPr>
        <w:t>их</w:t>
      </w:r>
      <w:r>
        <w:rPr>
          <w:lang w:val="sr-CS"/>
        </w:rPr>
        <w:t xml:space="preserve"> објеката </w:t>
      </w:r>
      <w:r>
        <w:rPr>
          <w:bCs/>
          <w:lang w:val="sr-CS"/>
        </w:rPr>
        <w:t>су:</w:t>
      </w:r>
    </w:p>
    <w:p>
      <w:pPr>
        <w:pStyle w:val="Normal"/>
        <w:ind w:firstLine="720"/>
        <w:jc w:val="both"/>
        <w:rPr>
          <w:lang w:val="sr-CS"/>
        </w:rPr>
      </w:pPr>
      <w:r>
        <w:rPr>
          <w:lang w:val="sr-CS"/>
        </w:rPr>
      </w:r>
    </w:p>
    <w:p>
      <w:pPr>
        <w:pStyle w:val="Normal"/>
        <w:numPr>
          <w:ilvl w:val="0"/>
          <w:numId w:val="1"/>
        </w:numPr>
        <w:jc w:val="both"/>
        <w:rPr/>
      </w:pPr>
      <w:r>
        <w:rPr>
          <w:lang w:val="sr-CS"/>
        </w:rPr>
        <w:t xml:space="preserve">Спратност објекта износи </w:t>
      </w:r>
      <w:r>
        <w:rPr>
          <w:b/>
          <w:lang w:val="sr-CS"/>
        </w:rPr>
        <w:t xml:space="preserve">П </w:t>
      </w:r>
      <w:r>
        <w:rPr>
          <w:lang w:val="sr-CS"/>
        </w:rPr>
        <w:t>до</w:t>
      </w:r>
      <w:r>
        <w:rPr>
          <w:b/>
          <w:lang w:val="sr-CS"/>
        </w:rPr>
        <w:t xml:space="preserve"> П+1+Пк </w:t>
      </w:r>
      <w:r>
        <w:rPr>
          <w:lang w:val="sr-CS"/>
        </w:rPr>
        <w:t>односно</w:t>
      </w:r>
      <w:r>
        <w:rPr>
          <w:b/>
          <w:lang w:val="sr-CS"/>
        </w:rPr>
        <w:t xml:space="preserve"> П+2</w:t>
      </w:r>
      <w:r>
        <w:rPr>
          <w:lang w:val="sr-CS"/>
        </w:rPr>
        <w:t>, без обзира на тип изградње,</w:t>
      </w:r>
    </w:p>
    <w:p>
      <w:pPr>
        <w:pStyle w:val="Normal"/>
        <w:numPr>
          <w:ilvl w:val="0"/>
          <w:numId w:val="1"/>
        </w:numPr>
        <w:jc w:val="both"/>
        <w:rPr/>
      </w:pPr>
      <w:r>
        <w:rPr>
          <w:lang w:val="sr-CS"/>
        </w:rPr>
        <w:t xml:space="preserve">Индекс изграђености  парцеле  </w:t>
      </w:r>
      <w:r>
        <w:rPr>
          <w:b/>
          <w:lang w:val="sr-CS"/>
        </w:rPr>
        <w:t>мах. 1,0</w:t>
      </w:r>
    </w:p>
    <w:p>
      <w:pPr>
        <w:pStyle w:val="Normal"/>
        <w:numPr>
          <w:ilvl w:val="0"/>
          <w:numId w:val="1"/>
        </w:numPr>
        <w:jc w:val="both"/>
        <w:rPr/>
      </w:pPr>
      <w:r>
        <w:rPr>
          <w:lang w:val="sr-CS"/>
        </w:rPr>
        <w:t xml:space="preserve">Минимална површина грађевинске парцеле је </w:t>
      </w:r>
      <w:r>
        <w:rPr>
          <w:b/>
          <w:lang w:val="sr-CS"/>
        </w:rPr>
        <w:t>300</w:t>
      </w:r>
      <w:r>
        <w:rPr>
          <w:lang w:val="sr-CS"/>
        </w:rPr>
        <w:t xml:space="preserve"> м² за слободностојећи објекат,</w:t>
      </w:r>
    </w:p>
    <w:p>
      <w:pPr>
        <w:pStyle w:val="Normal"/>
        <w:numPr>
          <w:ilvl w:val="0"/>
          <w:numId w:val="1"/>
        </w:numPr>
        <w:jc w:val="both"/>
        <w:rPr/>
      </w:pPr>
      <w:r>
        <w:rPr>
          <w:lang w:val="sr-CS"/>
        </w:rPr>
        <w:t xml:space="preserve">Дозвољени степен заузетости парцеле до </w:t>
      </w:r>
      <w:r>
        <w:rPr>
          <w:b/>
          <w:lang w:val="sr-CS"/>
        </w:rPr>
        <w:t>40%</w:t>
      </w:r>
      <w:r>
        <w:rPr>
          <w:lang w:val="sr-CS"/>
        </w:rPr>
        <w:t>,</w:t>
      </w:r>
    </w:p>
    <w:p>
      <w:pPr>
        <w:pStyle w:val="Normal"/>
        <w:jc w:val="both"/>
        <w:rPr>
          <w:lang w:val="sr-CS"/>
        </w:rPr>
      </w:pPr>
      <w:r>
        <w:rPr>
          <w:lang w:val="sr-CS"/>
        </w:rPr>
      </w:r>
    </w:p>
    <w:p>
      <w:pPr>
        <w:pStyle w:val="Normal"/>
        <w:jc w:val="both"/>
        <w:rPr>
          <w:lang w:val="sr-CS"/>
        </w:rPr>
      </w:pPr>
      <w:r>
        <w:rPr>
          <w:lang w:val="sr-CS"/>
        </w:rPr>
      </w:r>
    </w:p>
    <w:p>
      <w:pPr>
        <w:pStyle w:val="Normal"/>
        <w:numPr>
          <w:ilvl w:val="0"/>
          <w:numId w:val="1"/>
        </w:numPr>
        <w:jc w:val="both"/>
        <w:rPr/>
      </w:pPr>
      <w:r>
        <w:rPr>
          <w:lang w:val="sr-CS"/>
        </w:rPr>
        <w:t xml:space="preserve">Растојање грађевинске од регулационе линије износи најмање </w:t>
      </w:r>
      <w:r>
        <w:rPr>
          <w:b/>
          <w:lang w:val="sr-CS"/>
        </w:rPr>
        <w:t>3,0</w:t>
      </w:r>
      <w:r>
        <w:rPr>
          <w:lang w:val="sr-CS"/>
        </w:rPr>
        <w:t xml:space="preserve"> метра,</w:t>
      </w:r>
      <w:r>
        <w:rPr>
          <w:lang w:val="en-US"/>
        </w:rPr>
        <w:t xml:space="preserve"> уколико се парцела не ослања на регионални или магистрални пут</w:t>
      </w:r>
      <w:r>
        <w:rPr>
          <w:lang w:val="sr-CS"/>
        </w:rPr>
        <w:t xml:space="preserve"> - у том случају, поштовати услове надлежног јавног предузећа које управља предметном саобраћајницом,</w:t>
      </w:r>
    </w:p>
    <w:p>
      <w:pPr>
        <w:pStyle w:val="Normal"/>
        <w:numPr>
          <w:ilvl w:val="0"/>
          <w:numId w:val="1"/>
        </w:numPr>
        <w:jc w:val="both"/>
        <w:rPr/>
      </w:pPr>
      <w:r>
        <w:rPr>
          <w:lang w:val="sr-CS"/>
        </w:rPr>
        <w:t>За изграђене стамбене зоне растојање од регулационе линије утврђује се на основу позиција већине већ изграђених објеката (преко 50%),</w:t>
      </w:r>
    </w:p>
    <w:p>
      <w:pPr>
        <w:pStyle w:val="Normal"/>
        <w:numPr>
          <w:ilvl w:val="0"/>
          <w:numId w:val="1"/>
        </w:numPr>
        <w:jc w:val="both"/>
        <w:rPr/>
      </w:pPr>
      <w:r>
        <w:rPr>
          <w:lang w:val="sr-CS"/>
        </w:rPr>
        <w:t>Најмање дозвољено растојање основног габарита (без испада) објекта и линије суседне грађевинске парцеле (осим објеката у непрекинутом низу) на делу бочног дворишта претежно северне орјентације износи 1,50 метара, односно на делу бочног дворишта претежно јужне орјентације износи 2,50 метара,</w:t>
      </w:r>
    </w:p>
    <w:p>
      <w:pPr>
        <w:pStyle w:val="Normal"/>
        <w:numPr>
          <w:ilvl w:val="0"/>
          <w:numId w:val="1"/>
        </w:numPr>
        <w:jc w:val="both"/>
        <w:rPr/>
      </w:pPr>
      <w:r>
        <w:rPr>
          <w:lang w:val="sr-CS"/>
        </w:rPr>
        <w:t>У објектима за становање са пословањем, дозвољене делатности су оне које су еколошки и функционално примерене зони становања.</w:t>
      </w:r>
    </w:p>
    <w:p>
      <w:pPr>
        <w:pStyle w:val="Normal"/>
        <w:numPr>
          <w:ilvl w:val="0"/>
          <w:numId w:val="1"/>
        </w:numPr>
        <w:jc w:val="both"/>
        <w:rPr/>
      </w:pPr>
      <w:r>
        <w:rPr>
          <w:lang w:val="sr-CS"/>
        </w:rPr>
        <w:t>На парцелама породичног становања могу бити заступљене компатибилне намене: трговина, пословање, услуге и др. које се претежно развијају у приземљима објеката, а које не угрожавају основну намену-становање као и животну средину,</w:t>
      </w:r>
    </w:p>
    <w:p>
      <w:pPr>
        <w:pStyle w:val="Normal"/>
        <w:numPr>
          <w:ilvl w:val="0"/>
          <w:numId w:val="1"/>
        </w:numPr>
        <w:jc w:val="both"/>
        <w:rPr/>
      </w:pPr>
      <w:r>
        <w:rPr>
          <w:lang w:val="sr-CS"/>
        </w:rPr>
        <w:t>Нови објекат се може градити на растојању мањем од дозвољеног уз претходно прибављену сагласност власника, односно корисника суседне парцеле. У том случају, на калканском зиду новог објекта забрањени су било какви наспрамни отвори,</w:t>
      </w:r>
    </w:p>
    <w:p>
      <w:pPr>
        <w:pStyle w:val="Normal"/>
        <w:numPr>
          <w:ilvl w:val="0"/>
          <w:numId w:val="1"/>
        </w:numPr>
        <w:jc w:val="both"/>
        <w:rPr/>
      </w:pPr>
      <w:r>
        <w:rPr>
          <w:lang w:val="sr-CS"/>
        </w:rPr>
        <w:t>Међусобна удаљеност за слободностојеће објекте на парцели износи најмање 4,0 метара,</w:t>
      </w:r>
    </w:p>
    <w:p>
      <w:pPr>
        <w:pStyle w:val="Normal"/>
        <w:numPr>
          <w:ilvl w:val="0"/>
          <w:numId w:val="1"/>
        </w:numPr>
        <w:jc w:val="both"/>
        <w:rPr/>
      </w:pPr>
      <w:r>
        <w:rPr>
          <w:lang w:val="sr-CS"/>
        </w:rPr>
        <w:t>Изграђени стамбени објекти чија међусобна удаљеност износи мање од 3,0 метра, у случају доградње, надградње и реконструкције не могу на тој страни имати отворе стамбених просторија,</w:t>
      </w:r>
    </w:p>
    <w:p>
      <w:pPr>
        <w:pStyle w:val="Normal"/>
        <w:numPr>
          <w:ilvl w:val="0"/>
          <w:numId w:val="1"/>
        </w:numPr>
        <w:jc w:val="both"/>
        <w:rPr/>
      </w:pPr>
      <w:r>
        <w:rPr>
          <w:lang w:val="sr-CS"/>
        </w:rPr>
        <w:t xml:space="preserve">Парцеле у сеоском насељу се ограђују транспарентном оградом до висине од </w:t>
      </w:r>
      <w:r>
        <w:rPr>
          <w:b/>
          <w:lang w:val="sr-CS"/>
        </w:rPr>
        <w:t>1,4</w:t>
      </w:r>
      <w:r>
        <w:rPr>
          <w:lang w:val="sr-CS"/>
        </w:rPr>
        <w:t xml:space="preserve"> м, односно до висине од </w:t>
      </w:r>
      <w:r>
        <w:rPr>
          <w:b/>
          <w:lang w:val="sr-CS"/>
        </w:rPr>
        <w:t xml:space="preserve">0,9 </w:t>
      </w:r>
      <w:r>
        <w:rPr>
          <w:lang w:val="sr-CS"/>
        </w:rPr>
        <w:t>м када  је у питању зидана ограда,</w:t>
      </w:r>
    </w:p>
    <w:p>
      <w:pPr>
        <w:pStyle w:val="Normal"/>
        <w:numPr>
          <w:ilvl w:val="0"/>
          <w:numId w:val="1"/>
        </w:numPr>
        <w:jc w:val="both"/>
        <w:rPr/>
      </w:pPr>
      <w:r>
        <w:rPr>
          <w:lang w:val="sr-CS"/>
        </w:rPr>
        <w:t>Ограду поставити на регулациону линију према протоколу регулације, уз сагласност суседа, тако да се стубови, ограда, капија и врата налазе и отварају унутар грађевинске парцеле која се ограђује,</w:t>
      </w:r>
    </w:p>
    <w:p>
      <w:pPr>
        <w:pStyle w:val="Normal"/>
        <w:numPr>
          <w:ilvl w:val="0"/>
          <w:numId w:val="1"/>
        </w:numPr>
        <w:jc w:val="both"/>
        <w:rPr/>
      </w:pPr>
      <w:r>
        <w:rPr>
          <w:lang w:val="sr-CS"/>
        </w:rPr>
        <w:t xml:space="preserve">Парцеле чија је кота нивелета виша од 0,90 м од суседне, могу се ограђивати транспарентном оградом до висине од </w:t>
      </w:r>
      <w:r>
        <w:rPr>
          <w:b/>
          <w:lang w:val="sr-CS"/>
        </w:rPr>
        <w:t>1,40</w:t>
      </w:r>
      <w:r>
        <w:rPr>
          <w:lang w:val="sr-CS"/>
        </w:rPr>
        <w:t xml:space="preserve"> м која се може постављати на подзид (шкарпу),</w:t>
      </w:r>
    </w:p>
    <w:p>
      <w:pPr>
        <w:pStyle w:val="Normal"/>
        <w:numPr>
          <w:ilvl w:val="0"/>
          <w:numId w:val="1"/>
        </w:numPr>
        <w:jc w:val="both"/>
        <w:rPr/>
      </w:pPr>
      <w:r>
        <w:rPr>
          <w:lang w:val="sr-CS"/>
        </w:rPr>
        <w:t xml:space="preserve">Ограде између суседних парцела уколико се ограђују треба да буду зелене-жива ограда која се сади у осовини границе парцеле или транспарентне ограде висине до </w:t>
      </w:r>
      <w:r>
        <w:rPr>
          <w:b/>
          <w:lang w:val="sr-CS"/>
        </w:rPr>
        <w:t>1,40</w:t>
      </w:r>
      <w:r>
        <w:rPr>
          <w:lang w:val="sr-CS"/>
        </w:rPr>
        <w:t xml:space="preserve"> м које се постављају према катастарском плану и операту и то тако да стубови ограде буду на земљишту власника ограде. Изузетно, ограде међу суседима могу бити пуне зидане до висине </w:t>
      </w:r>
      <w:r>
        <w:rPr>
          <w:b/>
          <w:lang w:val="sr-CS"/>
        </w:rPr>
        <w:t>1,40</w:t>
      </w:r>
      <w:r>
        <w:rPr>
          <w:lang w:val="sr-CS"/>
        </w:rPr>
        <w:t xml:space="preserve"> м, уз сагласност суседа, тако да стубови ограде буду на земљишту власника ограде,</w:t>
      </w:r>
    </w:p>
    <w:p>
      <w:pPr>
        <w:pStyle w:val="Normal"/>
        <w:numPr>
          <w:ilvl w:val="0"/>
          <w:numId w:val="1"/>
        </w:numPr>
        <w:jc w:val="both"/>
        <w:rPr/>
      </w:pPr>
      <w:r>
        <w:rPr>
          <w:lang w:val="sr-CS"/>
        </w:rPr>
        <w:t xml:space="preserve">Ограде објеката на углу не могу бити више од </w:t>
      </w:r>
      <w:r>
        <w:rPr>
          <w:b/>
          <w:lang w:val="sr-CS"/>
        </w:rPr>
        <w:t>0,90</w:t>
      </w:r>
      <w:r>
        <w:rPr>
          <w:lang w:val="sr-CS"/>
        </w:rPr>
        <w:t xml:space="preserve"> м рачунајући од коте тротоара, због заштите визуелне предности раскрснице,</w:t>
      </w:r>
    </w:p>
    <w:p>
      <w:pPr>
        <w:pStyle w:val="Normal"/>
        <w:numPr>
          <w:ilvl w:val="0"/>
          <w:numId w:val="1"/>
        </w:numPr>
        <w:jc w:val="both"/>
        <w:rPr/>
      </w:pPr>
      <w:r>
        <w:rPr>
          <w:lang w:val="sr-CS"/>
        </w:rPr>
        <w:t>Врата и капије на уличној огради не могу се отварати изван регулационе линије,</w:t>
      </w:r>
    </w:p>
    <w:p>
      <w:pPr>
        <w:pStyle w:val="Normal"/>
        <w:numPr>
          <w:ilvl w:val="0"/>
          <w:numId w:val="1"/>
        </w:numPr>
        <w:jc w:val="both"/>
        <w:rPr/>
      </w:pPr>
      <w:r>
        <w:rPr>
          <w:lang w:val="sr-CS"/>
        </w:rPr>
        <w:t>За паркирање возила за сопствене потребе власници обезбеђују простор на сопственој парцели изван површине јавног пута.</w:t>
      </w:r>
    </w:p>
    <w:p>
      <w:pPr>
        <w:pStyle w:val="Normal"/>
        <w:ind w:left="2340" w:hanging="0"/>
        <w:jc w:val="both"/>
        <w:rPr>
          <w:lang w:val="sr-CS"/>
        </w:rPr>
      </w:pPr>
      <w:r>
        <w:rPr>
          <w:lang w:val="sr-CS"/>
        </w:rPr>
      </w:r>
    </w:p>
    <w:p>
      <w:pPr>
        <w:pStyle w:val="Normal"/>
        <w:ind w:left="2340" w:hanging="0"/>
        <w:jc w:val="both"/>
        <w:rPr>
          <w:lang w:val="sr-CS"/>
        </w:rPr>
      </w:pPr>
      <w:r>
        <w:rPr>
          <w:lang w:val="sr-CS"/>
        </w:rPr>
      </w:r>
    </w:p>
    <w:p>
      <w:pPr>
        <w:pStyle w:val="Normal"/>
        <w:ind w:firstLine="720"/>
        <w:jc w:val="both"/>
        <w:rPr/>
      </w:pPr>
      <w:r>
        <w:rPr>
          <w:lang w:val="sr-CS"/>
        </w:rPr>
        <w:t>У складу са општим правилима парцелације, у зависности од типа објеката који  ће се градити, најмања грађевинска парцела такође може бити:</w:t>
      </w:r>
    </w:p>
    <w:p>
      <w:pPr>
        <w:pStyle w:val="Normal"/>
        <w:ind w:firstLine="720"/>
        <w:jc w:val="both"/>
        <w:rPr>
          <w:lang w:val="sr-CS"/>
        </w:rPr>
      </w:pPr>
      <w:r>
        <w:rPr>
          <w:lang w:val="sr-CS"/>
        </w:rPr>
      </w:r>
    </w:p>
    <w:p>
      <w:pPr>
        <w:pStyle w:val="ListParagraph"/>
        <w:numPr>
          <w:ilvl w:val="0"/>
          <w:numId w:val="3"/>
        </w:numPr>
        <w:jc w:val="both"/>
        <w:rPr/>
      </w:pPr>
      <w:r>
        <w:rPr>
          <w:lang w:val="sr-CS"/>
        </w:rPr>
        <w:t>300 м², за слободностојећи објекат,</w:t>
      </w:r>
    </w:p>
    <w:p>
      <w:pPr>
        <w:pStyle w:val="ListParagraph"/>
        <w:numPr>
          <w:ilvl w:val="0"/>
          <w:numId w:val="3"/>
        </w:numPr>
        <w:jc w:val="both"/>
        <w:rPr/>
      </w:pPr>
      <w:r>
        <w:rPr>
          <w:lang w:val="sr-CS"/>
        </w:rPr>
        <w:t>400 м² / 2x200 м², за двојни објекат,</w:t>
      </w:r>
    </w:p>
    <w:p>
      <w:pPr>
        <w:pStyle w:val="ListParagraph"/>
        <w:numPr>
          <w:ilvl w:val="0"/>
          <w:numId w:val="3"/>
        </w:numPr>
        <w:jc w:val="both"/>
        <w:rPr/>
      </w:pPr>
      <w:r>
        <w:rPr>
          <w:lang w:val="sr-CS"/>
        </w:rPr>
        <w:t>130 м², за полуатријумски објекат,</w:t>
      </w:r>
    </w:p>
    <w:p>
      <w:pPr>
        <w:pStyle w:val="ListParagraph"/>
        <w:numPr>
          <w:ilvl w:val="0"/>
          <w:numId w:val="3"/>
        </w:numPr>
        <w:jc w:val="both"/>
        <w:rPr/>
      </w:pPr>
      <w:r>
        <w:rPr>
          <w:lang w:val="sr-CS"/>
        </w:rPr>
        <w:t>150 м², за објекат у непрекинутом стамб. низу,</w:t>
      </w:r>
    </w:p>
    <w:p>
      <w:pPr>
        <w:pStyle w:val="ListParagraph"/>
        <w:numPr>
          <w:ilvl w:val="0"/>
          <w:numId w:val="3"/>
        </w:numPr>
        <w:jc w:val="both"/>
        <w:rPr/>
      </w:pPr>
      <w:r>
        <w:rPr>
          <w:lang w:val="sr-CS"/>
        </w:rPr>
        <w:t>200 м², за објекат у прекинутом низу,</w:t>
      </w:r>
    </w:p>
    <w:p>
      <w:pPr>
        <w:pStyle w:val="Normal"/>
        <w:jc w:val="both"/>
        <w:rPr>
          <w:lang w:val="sr-CS"/>
        </w:rPr>
      </w:pPr>
      <w:r>
        <w:rPr>
          <w:lang w:val="sr-CS"/>
        </w:rPr>
      </w:r>
    </w:p>
    <w:p>
      <w:pPr>
        <w:pStyle w:val="Normal"/>
        <w:ind w:firstLine="720"/>
        <w:jc w:val="both"/>
        <w:rPr/>
      </w:pPr>
      <w:r>
        <w:rPr>
          <w:lang w:val="sr-CS"/>
        </w:rPr>
        <w:t>На грађевинској парцели чија је површина мања од наведених минималних величина, могућа је изградња стамбеног објекта спратности П+1, коеф.изграђености до 1,0 и степена заузетости до 0,4.</w:t>
      </w:r>
    </w:p>
    <w:p>
      <w:pPr>
        <w:pStyle w:val="Normal"/>
        <w:jc w:val="both"/>
        <w:rPr>
          <w:lang w:val="sr-CS"/>
        </w:rPr>
      </w:pPr>
      <w:r>
        <w:rPr>
          <w:lang w:val="sr-CS"/>
        </w:rPr>
      </w:r>
    </w:p>
    <w:p>
      <w:pPr>
        <w:pStyle w:val="Normal"/>
        <w:ind w:firstLine="720"/>
        <w:jc w:val="both"/>
        <w:rPr/>
      </w:pPr>
      <w:r>
        <w:rPr>
          <w:lang w:val="sr-CS"/>
        </w:rPr>
        <w:t>Најмања ширина грађевинске парцеле за изградњу породично-стамбеног објекта је:</w:t>
      </w:r>
    </w:p>
    <w:p>
      <w:pPr>
        <w:pStyle w:val="ListParagraph"/>
        <w:numPr>
          <w:ilvl w:val="0"/>
          <w:numId w:val="3"/>
        </w:numPr>
        <w:jc w:val="both"/>
        <w:rPr/>
      </w:pPr>
      <w:r>
        <w:rPr>
          <w:lang w:val="sr-CS"/>
        </w:rPr>
        <w:t>10 м, за слободностојећи објекат,</w:t>
      </w:r>
    </w:p>
    <w:p>
      <w:pPr>
        <w:pStyle w:val="ListParagraph"/>
        <w:numPr>
          <w:ilvl w:val="0"/>
          <w:numId w:val="3"/>
        </w:numPr>
        <w:jc w:val="both"/>
        <w:rPr/>
      </w:pPr>
      <w:r>
        <w:rPr>
          <w:lang w:val="sr-CS"/>
        </w:rPr>
        <w:t>16м / 2x8 м, за двојни објекат,</w:t>
      </w:r>
    </w:p>
    <w:p>
      <w:pPr>
        <w:pStyle w:val="ListParagraph"/>
        <w:numPr>
          <w:ilvl w:val="0"/>
          <w:numId w:val="3"/>
        </w:numPr>
        <w:jc w:val="both"/>
        <w:rPr/>
      </w:pPr>
      <w:r>
        <w:rPr>
          <w:lang w:val="sr-CS"/>
        </w:rPr>
        <w:t>5,0 м, за објекат у непрекинутом низу,</w:t>
      </w:r>
    </w:p>
    <w:p>
      <w:pPr>
        <w:pStyle w:val="ListParagraph"/>
        <w:numPr>
          <w:ilvl w:val="0"/>
          <w:numId w:val="3"/>
        </w:numPr>
        <w:jc w:val="both"/>
        <w:rPr/>
      </w:pPr>
      <w:r>
        <w:rPr>
          <w:lang w:val="sr-CS"/>
        </w:rPr>
        <w:t>12,0 м, за објекат у прекинутом низу,</w:t>
      </w:r>
    </w:p>
    <w:p>
      <w:pPr>
        <w:pStyle w:val="Normal"/>
        <w:jc w:val="both"/>
        <w:rPr>
          <w:lang w:val="sr-CS"/>
        </w:rPr>
      </w:pPr>
      <w:r>
        <w:rPr>
          <w:lang w:val="sr-CS"/>
        </w:rPr>
      </w:r>
    </w:p>
    <w:p>
      <w:pPr>
        <w:pStyle w:val="Normal"/>
        <w:ind w:firstLine="720"/>
        <w:jc w:val="both"/>
        <w:rPr>
          <w:lang w:val="sr-CS"/>
        </w:rPr>
      </w:pPr>
      <w:r>
        <w:rPr>
          <w:lang w:val="sr-CS"/>
        </w:rPr>
        <w:t xml:space="preserve">На грађевинској парцели чија је ширина мања од мин. утврђених, сем за двојне објекте, која се не може мењати, могу се градити објекти спратности до П+1, коеф. Изграђености до 1,2 и степена искоришћености до 60%. </w:t>
      </w:r>
    </w:p>
    <w:p>
      <w:pPr>
        <w:pStyle w:val="Normal"/>
        <w:ind w:firstLine="709"/>
        <w:jc w:val="both"/>
        <w:rPr>
          <w:lang w:val="sr-CS"/>
        </w:rPr>
      </w:pPr>
      <w:r>
        <w:rPr>
          <w:lang w:val="sr-CS"/>
        </w:rPr>
      </w:r>
    </w:p>
    <w:p>
      <w:pPr>
        <w:pStyle w:val="Normal"/>
        <w:jc w:val="both"/>
        <w:rPr>
          <w:b/>
          <w:b/>
          <w:lang w:val="sr-CS"/>
        </w:rPr>
      </w:pPr>
      <w:r>
        <w:rPr>
          <w:b/>
          <w:lang w:val="sr-CS"/>
        </w:rPr>
      </w:r>
    </w:p>
    <w:p>
      <w:pPr>
        <w:pStyle w:val="Normal"/>
        <w:ind w:hanging="0"/>
        <w:jc w:val="both"/>
        <w:rPr/>
      </w:pPr>
      <w:r>
        <w:rPr>
          <w:b/>
          <w:bCs/>
          <w:lang w:val="sr-CS"/>
        </w:rPr>
        <w:t>Услови за пројектовање и прикључење од имаоца јавних овлашћења:</w:t>
      </w:r>
    </w:p>
    <w:p>
      <w:pPr>
        <w:pStyle w:val="Normal"/>
        <w:ind w:hanging="0"/>
        <w:jc w:val="both"/>
        <w:rPr>
          <w:b/>
          <w:b/>
          <w:bCs/>
          <w:lang w:val="sr-CS"/>
        </w:rPr>
      </w:pPr>
      <w:r>
        <w:rPr>
          <w:b/>
          <w:bCs/>
          <w:lang w:val="sr-CS"/>
        </w:rPr>
      </w:r>
    </w:p>
    <w:p>
      <w:pPr>
        <w:pStyle w:val="Normal"/>
        <w:ind w:left="2340" w:hanging="0"/>
        <w:jc w:val="both"/>
        <w:rPr/>
      </w:pPr>
      <w:r>
        <w:rPr/>
      </w:r>
    </w:p>
    <w:p>
      <w:pPr>
        <w:pStyle w:val="Normal"/>
        <w:widowControl/>
        <w:numPr>
          <w:ilvl w:val="0"/>
          <w:numId w:val="4"/>
        </w:numPr>
        <w:tabs>
          <w:tab w:val="left" w:pos="645" w:leader="none"/>
          <w:tab w:val="left" w:pos="720" w:leader="none"/>
        </w:tabs>
        <w:suppressAutoHyphens w:val="true"/>
        <w:bidi w:val="0"/>
        <w:ind w:right="0" w:hanging="0"/>
        <w:jc w:val="both"/>
        <w:rPr/>
      </w:pPr>
      <w:r>
        <w:rPr>
          <w:b/>
          <w:bCs/>
          <w:lang w:val="sr-CS"/>
        </w:rPr>
        <w:t>ЈП „Водовод“ Владичин Хан,</w:t>
      </w:r>
    </w:p>
    <w:p>
      <w:pPr>
        <w:pStyle w:val="Normal"/>
        <w:widowControl/>
        <w:numPr>
          <w:ilvl w:val="0"/>
          <w:numId w:val="0"/>
        </w:numPr>
        <w:tabs>
          <w:tab w:val="left" w:pos="645" w:leader="none"/>
          <w:tab w:val="left" w:pos="720" w:leader="none"/>
        </w:tabs>
        <w:suppressAutoHyphens w:val="true"/>
        <w:bidi w:val="0"/>
        <w:ind w:left="629" w:right="0" w:hanging="629"/>
        <w:jc w:val="both"/>
        <w:rPr/>
      </w:pPr>
      <w:r>
        <w:rPr>
          <w:lang w:val="sr-CS"/>
        </w:rPr>
        <w:tab/>
      </w:r>
      <w:r>
        <w:rPr>
          <w:lang w:val="sr-RS"/>
        </w:rPr>
        <w:t xml:space="preserve">Услови за пројектовање и прикључење </w:t>
      </w:r>
      <w:r>
        <w:rPr>
          <w:lang w:val="sr-CS"/>
        </w:rPr>
        <w:t xml:space="preserve">број </w:t>
      </w:r>
      <w:r>
        <w:rPr>
          <w:lang w:val="sr-RS"/>
        </w:rPr>
        <w:t>1251</w:t>
      </w:r>
      <w:r>
        <w:rPr>
          <w:lang w:val="sr-CS"/>
        </w:rPr>
        <w:t xml:space="preserve"> од </w:t>
      </w:r>
      <w:r>
        <w:rPr>
          <w:lang w:val="sr-RS"/>
        </w:rPr>
        <w:t>24.05.2016</w:t>
      </w:r>
      <w:r>
        <w:rPr>
          <w:lang w:val="sr-CS"/>
        </w:rPr>
        <w:t>.године,</w:t>
      </w:r>
    </w:p>
    <w:p>
      <w:pPr>
        <w:pStyle w:val="Normal"/>
        <w:widowControl/>
        <w:numPr>
          <w:ilvl w:val="0"/>
          <w:numId w:val="0"/>
        </w:numPr>
        <w:tabs>
          <w:tab w:val="left" w:pos="645" w:leader="none"/>
          <w:tab w:val="left" w:pos="720" w:leader="none"/>
        </w:tabs>
        <w:suppressAutoHyphens w:val="true"/>
        <w:bidi w:val="0"/>
        <w:ind w:left="629" w:right="0" w:hanging="629"/>
        <w:jc w:val="both"/>
        <w:rPr>
          <w:lang w:val="sr-CS"/>
        </w:rPr>
      </w:pPr>
      <w:r>
        <w:rPr>
          <w:lang w:val="sr-CS"/>
        </w:rPr>
      </w:r>
    </w:p>
    <w:p>
      <w:pPr>
        <w:pStyle w:val="Normal"/>
        <w:widowControl/>
        <w:numPr>
          <w:ilvl w:val="0"/>
          <w:numId w:val="5"/>
        </w:numPr>
        <w:tabs>
          <w:tab w:val="left" w:pos="720" w:leader="none"/>
        </w:tabs>
        <w:suppressAutoHyphens w:val="true"/>
        <w:bidi w:val="0"/>
        <w:ind w:right="0" w:hanging="0"/>
        <w:jc w:val="both"/>
        <w:rPr/>
      </w:pPr>
      <w:r>
        <w:rPr>
          <w:b/>
          <w:bCs/>
          <w:lang w:val="sr-CS"/>
        </w:rPr>
        <w:t xml:space="preserve">Телеком Србија – Извршна јединица Врање, </w:t>
      </w:r>
    </w:p>
    <w:p>
      <w:pPr>
        <w:pStyle w:val="Normal"/>
        <w:widowControl/>
        <w:numPr>
          <w:ilvl w:val="0"/>
          <w:numId w:val="0"/>
        </w:numPr>
        <w:tabs>
          <w:tab w:val="left" w:pos="720" w:leader="none"/>
        </w:tabs>
        <w:suppressAutoHyphens w:val="true"/>
        <w:bidi w:val="0"/>
        <w:ind w:left="629" w:right="0" w:hanging="629"/>
        <w:jc w:val="both"/>
        <w:rPr/>
      </w:pPr>
      <w:r>
        <w:rPr>
          <w:lang w:val="sr-RS"/>
        </w:rPr>
        <w:tab/>
        <w:t>У</w:t>
      </w:r>
      <w:r>
        <w:rPr>
          <w:lang w:val="sr-CS"/>
        </w:rPr>
        <w:t>словна сагласност  број 7151-</w:t>
      </w:r>
      <w:r>
        <w:rPr>
          <w:lang w:val="sr-RS"/>
        </w:rPr>
        <w:t>196167</w:t>
      </w:r>
      <w:r>
        <w:rPr>
          <w:lang w:val="sr-CS"/>
        </w:rPr>
        <w:t>/</w:t>
      </w:r>
      <w:r>
        <w:rPr>
          <w:lang w:val="sr-RS"/>
        </w:rPr>
        <w:t>1</w:t>
      </w:r>
      <w:r>
        <w:rPr>
          <w:lang w:val="sr-CS"/>
        </w:rPr>
        <w:t xml:space="preserve"> од </w:t>
      </w:r>
      <w:r>
        <w:rPr>
          <w:lang w:val="sr-RS"/>
        </w:rPr>
        <w:t>20.05.2016</w:t>
      </w:r>
      <w:r>
        <w:rPr>
          <w:lang w:val="sr-CS"/>
        </w:rPr>
        <w:t>.године,</w:t>
      </w:r>
    </w:p>
    <w:p>
      <w:pPr>
        <w:pStyle w:val="Normal"/>
        <w:widowControl/>
        <w:numPr>
          <w:ilvl w:val="0"/>
          <w:numId w:val="0"/>
        </w:numPr>
        <w:tabs>
          <w:tab w:val="left" w:pos="720" w:leader="none"/>
        </w:tabs>
        <w:suppressAutoHyphens w:val="true"/>
        <w:bidi w:val="0"/>
        <w:ind w:left="629" w:right="0" w:hanging="629"/>
        <w:jc w:val="both"/>
        <w:rPr>
          <w:lang w:val="sr-CS"/>
        </w:rPr>
      </w:pPr>
      <w:r>
        <w:rPr>
          <w:lang w:val="sr-CS"/>
        </w:rPr>
      </w:r>
    </w:p>
    <w:p>
      <w:pPr>
        <w:pStyle w:val="Normal"/>
        <w:widowControl/>
        <w:numPr>
          <w:ilvl w:val="0"/>
          <w:numId w:val="2"/>
        </w:numPr>
        <w:tabs>
          <w:tab w:val="left" w:pos="720" w:leader="none"/>
        </w:tabs>
        <w:suppressAutoHyphens w:val="true"/>
        <w:bidi w:val="0"/>
        <w:ind w:right="0" w:hanging="0"/>
        <w:jc w:val="both"/>
        <w:rPr/>
      </w:pPr>
      <w:r>
        <w:rPr>
          <w:b/>
          <w:bCs/>
          <w:lang w:val="sr-RS"/>
        </w:rPr>
        <w:t>Електропривреда Србије, ЕПС дистрибуција</w:t>
      </w:r>
      <w:r>
        <w:rPr>
          <w:b/>
          <w:bCs/>
          <w:lang w:val="sr-CS"/>
        </w:rPr>
        <w:t xml:space="preserve"> Врање – Сектор за енергетику и инвестиције, </w:t>
      </w:r>
    </w:p>
    <w:p>
      <w:pPr>
        <w:pStyle w:val="Normal"/>
        <w:widowControl/>
        <w:numPr>
          <w:ilvl w:val="0"/>
          <w:numId w:val="0"/>
        </w:numPr>
        <w:tabs>
          <w:tab w:val="left" w:pos="2340" w:leader="none"/>
        </w:tabs>
        <w:suppressAutoHyphens w:val="true"/>
        <w:bidi w:val="0"/>
        <w:ind w:left="629" w:right="0" w:hanging="629"/>
        <w:jc w:val="both"/>
        <w:rPr/>
      </w:pPr>
      <w:r>
        <w:rPr>
          <w:lang w:val="sr-RS"/>
        </w:rPr>
        <w:tab/>
        <w:t xml:space="preserve">Услови за пројектовање и прикључење </w:t>
      </w:r>
      <w:r>
        <w:rPr>
          <w:lang w:val="sr-CS"/>
        </w:rPr>
        <w:t xml:space="preserve">број  </w:t>
      </w:r>
      <w:r>
        <w:rPr>
          <w:lang w:val="sr-RS"/>
        </w:rPr>
        <w:t>139173</w:t>
      </w:r>
      <w:r>
        <w:rPr>
          <w:lang w:val="en-US"/>
        </w:rPr>
        <w:t xml:space="preserve">/2 </w:t>
      </w:r>
      <w:r>
        <w:rPr>
          <w:lang w:val="sr-CS"/>
        </w:rPr>
        <w:t xml:space="preserve">од  </w:t>
      </w:r>
      <w:r>
        <w:rPr>
          <w:lang w:val="sr-RS"/>
        </w:rPr>
        <w:t>02.06.2016</w:t>
      </w:r>
      <w:r>
        <w:rPr>
          <w:lang w:val="sr-CS"/>
        </w:rPr>
        <w:t>.године.</w:t>
      </w:r>
    </w:p>
    <w:p>
      <w:pPr>
        <w:pStyle w:val="Normal"/>
        <w:widowControl/>
        <w:numPr>
          <w:ilvl w:val="0"/>
          <w:numId w:val="0"/>
        </w:numPr>
        <w:tabs>
          <w:tab w:val="left" w:pos="2340" w:leader="none"/>
        </w:tabs>
        <w:suppressAutoHyphens w:val="true"/>
        <w:bidi w:val="0"/>
        <w:ind w:right="0" w:hanging="0"/>
        <w:jc w:val="both"/>
        <w:rPr>
          <w:b/>
          <w:b/>
          <w:bCs/>
          <w:lang w:val="sr-CS"/>
        </w:rPr>
      </w:pPr>
      <w:r>
        <w:rPr>
          <w:b/>
          <w:bCs/>
          <w:lang w:val="sr-CS"/>
        </w:rPr>
      </w:r>
    </w:p>
    <w:p>
      <w:pPr>
        <w:pStyle w:val="Normal"/>
        <w:widowControl/>
        <w:numPr>
          <w:ilvl w:val="0"/>
          <w:numId w:val="2"/>
        </w:numPr>
        <w:tabs>
          <w:tab w:val="left" w:pos="630" w:leader="none"/>
        </w:tabs>
        <w:suppressAutoHyphens w:val="true"/>
        <w:bidi w:val="0"/>
        <w:ind w:right="0" w:hanging="0"/>
        <w:jc w:val="both"/>
        <w:rPr/>
      </w:pPr>
      <w:r>
        <w:rPr>
          <w:b/>
          <w:bCs/>
          <w:lang w:val="sr-CS"/>
        </w:rPr>
        <w:t>ЈП Дирекција за грађевинско земљиште и путеве Владичин Хан,</w:t>
      </w:r>
      <w:r>
        <w:rPr>
          <w:lang w:val="sr-CS"/>
        </w:rPr>
        <w:t xml:space="preserve"> </w:t>
      </w:r>
    </w:p>
    <w:p>
      <w:pPr>
        <w:pStyle w:val="Normal"/>
        <w:widowControl/>
        <w:numPr>
          <w:ilvl w:val="0"/>
          <w:numId w:val="0"/>
        </w:numPr>
        <w:tabs>
          <w:tab w:val="left" w:pos="2340" w:leader="none"/>
        </w:tabs>
        <w:suppressAutoHyphens w:val="true"/>
        <w:bidi w:val="0"/>
        <w:ind w:left="629" w:right="0" w:hanging="629"/>
        <w:jc w:val="both"/>
        <w:rPr/>
      </w:pPr>
      <w:r>
        <w:rPr>
          <w:lang w:val="sr-RS"/>
        </w:rPr>
        <w:tab/>
        <w:t xml:space="preserve">Услови за пројектовање и прикључење </w:t>
      </w:r>
      <w:r>
        <w:rPr>
          <w:lang w:val="sr-CS"/>
        </w:rPr>
        <w:t>бр</w:t>
      </w:r>
      <w:r>
        <w:rPr>
          <w:lang w:val="sr-RS"/>
        </w:rPr>
        <w:t>ој</w:t>
      </w:r>
      <w:r>
        <w:rPr>
          <w:lang w:val="sr-CS"/>
        </w:rPr>
        <w:t xml:space="preserve"> </w:t>
      </w:r>
      <w:r>
        <w:rPr>
          <w:lang w:val="sr-RS"/>
        </w:rPr>
        <w:t>662</w:t>
      </w:r>
      <w:r>
        <w:rPr>
          <w:lang w:val="sr-CS"/>
        </w:rPr>
        <w:t xml:space="preserve"> од </w:t>
      </w:r>
      <w:r>
        <w:rPr>
          <w:lang w:val="sr-RS"/>
        </w:rPr>
        <w:t>03.06.2016</w:t>
      </w:r>
      <w:r>
        <w:rPr>
          <w:lang w:val="sr-CS"/>
        </w:rPr>
        <w:t>.године;</w:t>
      </w:r>
    </w:p>
    <w:p>
      <w:pPr>
        <w:pStyle w:val="Normal"/>
        <w:widowControl/>
        <w:numPr>
          <w:ilvl w:val="0"/>
          <w:numId w:val="0"/>
        </w:numPr>
        <w:tabs>
          <w:tab w:val="left" w:pos="2340" w:leader="none"/>
        </w:tabs>
        <w:suppressAutoHyphens w:val="true"/>
        <w:bidi w:val="0"/>
        <w:ind w:right="0" w:hanging="0"/>
        <w:jc w:val="both"/>
        <w:rPr>
          <w:lang w:val="sr-CS"/>
        </w:rPr>
      </w:pPr>
      <w:r>
        <w:rPr>
          <w:lang w:val="sr-CS"/>
        </w:rPr>
      </w:r>
    </w:p>
    <w:p>
      <w:pPr>
        <w:pStyle w:val="Normal"/>
        <w:widowControl/>
        <w:numPr>
          <w:ilvl w:val="0"/>
          <w:numId w:val="2"/>
        </w:numPr>
        <w:tabs>
          <w:tab w:val="left" w:pos="630" w:leader="none"/>
        </w:tabs>
        <w:suppressAutoHyphens w:val="true"/>
        <w:bidi w:val="0"/>
        <w:ind w:right="0" w:hanging="0"/>
        <w:jc w:val="both"/>
        <w:rPr/>
      </w:pPr>
      <w:r>
        <w:rPr>
          <w:b/>
          <w:bCs/>
          <w:lang w:val="sr-RS"/>
        </w:rPr>
        <w:t>Заштита животне средине,</w:t>
      </w:r>
    </w:p>
    <w:p>
      <w:pPr>
        <w:pStyle w:val="Normal"/>
        <w:widowControl/>
        <w:numPr>
          <w:ilvl w:val="0"/>
          <w:numId w:val="0"/>
        </w:numPr>
        <w:tabs>
          <w:tab w:val="left" w:pos="630" w:leader="none"/>
        </w:tabs>
        <w:suppressAutoHyphens w:val="true"/>
        <w:bidi w:val="0"/>
        <w:ind w:right="0" w:hanging="0"/>
        <w:jc w:val="both"/>
        <w:rPr/>
      </w:pPr>
      <w:r>
        <w:rPr>
          <w:b/>
          <w:bCs/>
          <w:lang w:val="sr-RS"/>
        </w:rPr>
        <w:t xml:space="preserve">         </w:t>
      </w:r>
      <w:r>
        <w:rPr>
          <w:b w:val="false"/>
          <w:bCs w:val="false"/>
          <w:lang w:val="sr-RS"/>
        </w:rPr>
        <w:t xml:space="preserve">  </w:t>
      </w:r>
      <w:r>
        <w:rPr>
          <w:b w:val="false"/>
          <w:bCs w:val="false"/>
          <w:lang w:val="sr-RS"/>
        </w:rPr>
        <w:t xml:space="preserve">Реализација планских решења оствариће се применом принципа превенције и предострожности, односно применом принципа смањења негативног утицаја на животну средину, као основног модела који интегрално разматра утицај планских решења свих оних сфера делатности (саобраћај, индустрија, пољопривреда, туризам, инфраструктура) који могу имати негативне последице на природне и створене вредности одређеног подручја. </w:t>
      </w:r>
    </w:p>
    <w:p>
      <w:pPr>
        <w:pStyle w:val="Normal"/>
        <w:widowControl/>
        <w:numPr>
          <w:ilvl w:val="0"/>
          <w:numId w:val="0"/>
        </w:numPr>
        <w:tabs>
          <w:tab w:val="left" w:pos="630" w:leader="none"/>
        </w:tabs>
        <w:suppressAutoHyphens w:val="true"/>
        <w:bidi w:val="0"/>
        <w:ind w:right="0" w:hanging="0"/>
        <w:jc w:val="both"/>
        <w:rPr>
          <w:b/>
          <w:b/>
          <w:bCs/>
          <w:lang w:val="sr-RS"/>
        </w:rPr>
      </w:pPr>
      <w:r>
        <w:rPr>
          <w:b/>
          <w:bCs/>
          <w:lang w:val="sr-RS"/>
        </w:rPr>
      </w:r>
    </w:p>
    <w:p>
      <w:pPr>
        <w:pStyle w:val="Normal"/>
        <w:widowControl/>
        <w:numPr>
          <w:ilvl w:val="0"/>
          <w:numId w:val="2"/>
        </w:numPr>
        <w:tabs>
          <w:tab w:val="left" w:pos="630" w:leader="none"/>
        </w:tabs>
        <w:suppressAutoHyphens w:val="true"/>
        <w:bidi w:val="0"/>
        <w:ind w:right="0" w:hanging="0"/>
        <w:jc w:val="both"/>
        <w:rPr/>
      </w:pPr>
      <w:r>
        <w:rPr>
          <w:b/>
          <w:bCs/>
          <w:lang w:val="sr-RS"/>
        </w:rPr>
        <w:t>Заштита од пожара,</w:t>
      </w:r>
    </w:p>
    <w:p>
      <w:pPr>
        <w:pStyle w:val="Normal"/>
        <w:widowControl/>
        <w:numPr>
          <w:ilvl w:val="0"/>
          <w:numId w:val="0"/>
        </w:numPr>
        <w:tabs>
          <w:tab w:val="left" w:pos="630" w:leader="none"/>
        </w:tabs>
        <w:suppressAutoHyphens w:val="true"/>
        <w:bidi w:val="0"/>
        <w:ind w:right="0" w:hanging="0"/>
        <w:jc w:val="both"/>
        <w:rPr/>
      </w:pPr>
      <w:r>
        <w:rPr>
          <w:b/>
          <w:bCs/>
          <w:lang w:val="sr-RS"/>
        </w:rPr>
        <w:t xml:space="preserve">         </w:t>
      </w:r>
      <w:r>
        <w:rPr>
          <w:b w:val="false"/>
          <w:bCs w:val="false"/>
          <w:lang w:val="sr-RS"/>
        </w:rPr>
        <w:t>Објекте пројектовати у складу са Законом о заштити од пожара (Сл. гласник РС, бр. 111/10) и важећим правилницима.</w:t>
      </w:r>
    </w:p>
    <w:p>
      <w:pPr>
        <w:pStyle w:val="Normal"/>
        <w:widowControl/>
        <w:tabs>
          <w:tab w:val="left" w:pos="630" w:leader="none"/>
        </w:tabs>
        <w:suppressAutoHyphens w:val="true"/>
        <w:bidi w:val="0"/>
        <w:ind w:right="0" w:hanging="0"/>
        <w:jc w:val="both"/>
        <w:rPr>
          <w:b w:val="false"/>
          <w:b w:val="false"/>
          <w:bCs w:val="false"/>
          <w:lang w:val="sr-RS"/>
        </w:rPr>
      </w:pPr>
      <w:r>
        <w:rPr>
          <w:b w:val="false"/>
          <w:bCs w:val="false"/>
          <w:lang w:val="sr-RS"/>
        </w:rPr>
      </w:r>
    </w:p>
    <w:p>
      <w:pPr>
        <w:pStyle w:val="Normal"/>
        <w:widowControl/>
        <w:tabs>
          <w:tab w:val="left" w:pos="630" w:leader="none"/>
        </w:tabs>
        <w:suppressAutoHyphens w:val="true"/>
        <w:bidi w:val="0"/>
        <w:ind w:right="0" w:hanging="0"/>
        <w:jc w:val="both"/>
        <w:rPr>
          <w:b w:val="false"/>
          <w:b w:val="false"/>
          <w:bCs w:val="false"/>
          <w:lang w:val="sr-RS"/>
        </w:rPr>
      </w:pPr>
      <w:r>
        <w:rPr>
          <w:b w:val="false"/>
          <w:bCs w:val="false"/>
          <w:lang w:val="sr-RS"/>
        </w:rPr>
      </w:r>
    </w:p>
    <w:p>
      <w:pPr>
        <w:pStyle w:val="Normal"/>
        <w:tabs>
          <w:tab w:val="left" w:pos="2340" w:leader="none"/>
        </w:tabs>
        <w:ind w:left="2340" w:hanging="0"/>
        <w:jc w:val="both"/>
        <w:rPr>
          <w:lang w:val="sr-CS"/>
        </w:rPr>
      </w:pPr>
      <w:r>
        <w:rPr>
          <w:lang w:val="sr-CS"/>
        </w:rPr>
      </w:r>
    </w:p>
    <w:p>
      <w:pPr>
        <w:pStyle w:val="Normal"/>
        <w:ind w:firstLine="720"/>
        <w:jc w:val="both"/>
        <w:rPr/>
      </w:pPr>
      <w:r>
        <w:rPr>
          <w:lang w:val="sr-CS"/>
        </w:rPr>
        <w:t>Сви напред побројани услови саставни су део локацијских услова и морају бити испоштовани по сваком наводу приликом пројектовања  и извођења радова. За све настале штете због непоштовања неког од издатих услова од стране јавних предузећа, трошкове сноси инвеститор.</w:t>
      </w:r>
    </w:p>
    <w:p>
      <w:pPr>
        <w:pStyle w:val="Normal"/>
        <w:ind w:firstLine="720"/>
        <w:jc w:val="both"/>
        <w:rPr>
          <w:lang w:val="sr-CS"/>
        </w:rPr>
      </w:pPr>
      <w:r>
        <w:rPr>
          <w:lang w:val="sr-CS"/>
        </w:rPr>
      </w:r>
    </w:p>
    <w:p>
      <w:pPr>
        <w:pStyle w:val="Normal"/>
        <w:rPr>
          <w:b/>
          <w:b/>
          <w:lang w:val="sr-CS"/>
        </w:rPr>
      </w:pPr>
      <w:r>
        <w:rPr>
          <w:b/>
          <w:lang w:val="sr-CS"/>
        </w:rPr>
      </w:r>
    </w:p>
    <w:p>
      <w:pPr>
        <w:pStyle w:val="Normal"/>
        <w:jc w:val="center"/>
        <w:rPr/>
      </w:pPr>
      <w:r>
        <w:rPr>
          <w:b/>
          <w:lang w:val="sr-CS"/>
        </w:rPr>
        <w:t>ПОСЕБНИ УСЛОВИ:</w:t>
      </w:r>
    </w:p>
    <w:p>
      <w:pPr>
        <w:pStyle w:val="Normal"/>
        <w:jc w:val="both"/>
        <w:rPr>
          <w:lang w:val="sr-CS"/>
        </w:rPr>
      </w:pPr>
      <w:r>
        <w:rPr>
          <w:lang w:val="sr-CS"/>
        </w:rPr>
      </w:r>
    </w:p>
    <w:p>
      <w:pPr>
        <w:pStyle w:val="Normal"/>
        <w:ind w:firstLine="720"/>
        <w:jc w:val="both"/>
        <w:rPr>
          <w:lang w:val="sr-CS"/>
        </w:rPr>
      </w:pPr>
      <w:r>
        <w:rPr>
          <w:lang w:val="sr-CS"/>
        </w:rPr>
        <w:t xml:space="preserve">Инвеститор је дужан да приликом извођења радова не оштети суседне објекте, а ако дође до оштећења  да евентуалну штету надокнади. </w:t>
      </w:r>
    </w:p>
    <w:p>
      <w:pPr>
        <w:pStyle w:val="Normal"/>
        <w:ind w:firstLine="720"/>
        <w:jc w:val="both"/>
        <w:rPr>
          <w:lang w:val="sr-CS"/>
        </w:rPr>
      </w:pPr>
      <w:r>
        <w:rPr>
          <w:lang w:val="sr-CS"/>
        </w:rPr>
      </w:r>
    </w:p>
    <w:p>
      <w:pPr>
        <w:pStyle w:val="Normal"/>
        <w:ind w:firstLine="720"/>
        <w:jc w:val="both"/>
        <w:rPr>
          <w:lang w:val="en-US"/>
        </w:rPr>
      </w:pPr>
      <w:r>
        <w:rPr>
          <w:lang w:val="sr-CS"/>
        </w:rPr>
        <w:t>Инвеститор је у обавези да изради техничку документацију-пројекат за грађевинску дозволу  у складу са Законом о планирању и изградњи РС („Сл. Гласник РС“, број 72/09, 81/09, 24/2011, 121/2012, 132/2014 и 145/2014) и Правилником којим се уређује садржина техничке документације.</w:t>
      </w:r>
    </w:p>
    <w:p>
      <w:pPr>
        <w:pStyle w:val="Normal"/>
        <w:jc w:val="both"/>
        <w:rPr>
          <w:lang w:val="sr-CS"/>
        </w:rPr>
      </w:pPr>
      <w:r>
        <w:rPr>
          <w:lang w:val="sr-CS"/>
        </w:rPr>
      </w:r>
    </w:p>
    <w:p>
      <w:pPr>
        <w:pStyle w:val="Normal"/>
        <w:ind w:firstLine="720"/>
        <w:jc w:val="both"/>
        <w:rPr/>
      </w:pPr>
      <w:r>
        <w:rPr/>
        <w:t xml:space="preserve">Пре издавања </w:t>
      </w:r>
      <w:r>
        <w:rPr>
          <w:lang w:val="sr-CS"/>
        </w:rPr>
        <w:t>г</w:t>
      </w:r>
      <w:r>
        <w:rPr/>
        <w:t xml:space="preserve">рађевинске дозволе неопходно је  </w:t>
      </w:r>
      <w:r>
        <w:rPr>
          <w:lang w:val="sr-CS"/>
        </w:rPr>
        <w:t xml:space="preserve">доставити доказе о регулисању правно-имовинских односа </w:t>
      </w:r>
      <w:r>
        <w:rPr>
          <w:lang w:val="sr-RS"/>
        </w:rPr>
        <w:t>и извршити пренамену земљишта у грађевинско уколико то није већ учињено или надлежно Министарство не каже другачије</w:t>
      </w:r>
      <w:r>
        <w:rPr/>
        <w:t>.</w:t>
      </w:r>
    </w:p>
    <w:p>
      <w:pPr>
        <w:pStyle w:val="Normal"/>
        <w:ind w:firstLine="720"/>
        <w:jc w:val="both"/>
        <w:rPr>
          <w:lang w:val="sr-CS"/>
        </w:rPr>
      </w:pPr>
      <w:r>
        <w:rPr>
          <w:lang w:val="sr-CS"/>
        </w:rPr>
      </w:r>
    </w:p>
    <w:p>
      <w:pPr>
        <w:pStyle w:val="Normal"/>
        <w:ind w:firstLine="720"/>
        <w:jc w:val="both"/>
        <w:rPr>
          <w:lang w:val="sr-CS"/>
        </w:rPr>
      </w:pPr>
      <w:r>
        <w:rPr>
          <w:lang w:val="sr-CS"/>
        </w:rPr>
        <w:t>Инвеститор је у обавези да прибави техничку документацију и да се посебним писменим захтевом обрати овом одељењу у циљу издавања грађевинске дозволе у складу са чланом 135. Закона о планирању и изградњи РС („Сл. Гласник РС“, број 72/09, 81/09, 24/2011, 121/2012, 132/2014 и 145/2014).</w:t>
      </w:r>
    </w:p>
    <w:p>
      <w:pPr>
        <w:pStyle w:val="TEKST"/>
        <w:rPr>
          <w:lang w:val="sr-CS"/>
        </w:rPr>
      </w:pPr>
      <w:r>
        <w:rPr>
          <w:lang w:val="sr-CS"/>
        </w:rPr>
        <w:t xml:space="preserve">Локацијски услови важе </w:t>
      </w:r>
      <w:r>
        <w:rPr>
          <w:b/>
          <w:lang w:val="sr-CS"/>
        </w:rPr>
        <w:t>12 месеци</w:t>
      </w:r>
      <w:r>
        <w:rPr>
          <w:lang w:val="sr-CS"/>
        </w:rPr>
        <w:t xml:space="preserve"> </w:t>
      </w:r>
      <w:r>
        <w:rPr/>
        <w:t>од дана издавања или до истека важења грађевинске дозволе издате у складу са тим условима, за катастарску парцелу</w:t>
      </w:r>
      <w:r>
        <w:rPr>
          <w:lang w:val="sr-CS"/>
        </w:rPr>
        <w:t>/е</w:t>
      </w:r>
      <w:r>
        <w:rPr/>
        <w:t xml:space="preserve"> за коју је поднет захтев.</w:t>
      </w:r>
    </w:p>
    <w:p>
      <w:pPr>
        <w:pStyle w:val="TEKST"/>
        <w:rPr/>
      </w:pPr>
      <w:r>
        <w:rPr/>
        <w:t>Подносилац захтева може поднети захтев за измену једног или више услова за пројектовање, односно прикључење објекта на инфраструктурну мрежу у ком случају се врши измена локацијских услова.</w:t>
      </w:r>
    </w:p>
    <w:p>
      <w:pPr>
        <w:pStyle w:val="Normal"/>
        <w:jc w:val="both"/>
        <w:rPr>
          <w:lang w:val="sr-CS"/>
        </w:rPr>
      </w:pPr>
      <w:r>
        <w:rPr>
          <w:lang w:val="sr-CS"/>
        </w:rPr>
      </w:r>
    </w:p>
    <w:p>
      <w:pPr>
        <w:pStyle w:val="Normal"/>
        <w:jc w:val="both"/>
        <w:rPr>
          <w:lang w:val="sr-CS"/>
        </w:rPr>
      </w:pPr>
      <w:r>
        <w:rPr>
          <w:lang w:val="sr-CS"/>
        </w:rPr>
      </w:r>
    </w:p>
    <w:p>
      <w:pPr>
        <w:pStyle w:val="Normal"/>
        <w:jc w:val="center"/>
        <w:rPr/>
      </w:pPr>
      <w:r>
        <w:rPr>
          <w:b/>
          <w:lang w:val="sr-CS"/>
        </w:rPr>
        <w:t>О б р а з л о ж е њ е</w:t>
      </w:r>
    </w:p>
    <w:p>
      <w:pPr>
        <w:pStyle w:val="Normal"/>
        <w:jc w:val="center"/>
        <w:rPr>
          <w:b/>
          <w:b/>
          <w:lang w:val="sr-CS"/>
        </w:rPr>
      </w:pPr>
      <w:r>
        <w:rPr>
          <w:b/>
          <w:lang w:val="sr-CS"/>
        </w:rPr>
      </w:r>
    </w:p>
    <w:p>
      <w:pPr>
        <w:pStyle w:val="Normal"/>
        <w:jc w:val="center"/>
        <w:rPr>
          <w:lang w:val="sr-CS"/>
        </w:rPr>
      </w:pPr>
      <w:r>
        <w:rPr>
          <w:lang w:val="sr-CS"/>
        </w:rPr>
      </w:r>
    </w:p>
    <w:p>
      <w:pPr>
        <w:pStyle w:val="Normal"/>
        <w:ind w:firstLine="720"/>
        <w:jc w:val="both"/>
        <w:rPr/>
      </w:pPr>
      <w:r>
        <w:rPr>
          <w:lang w:val="en-US"/>
        </w:rPr>
        <w:t>JП Дирекција за грађевинско земљиште и путеве</w:t>
      </w:r>
      <w:r>
        <w:rPr>
          <w:lang w:val="sr-CS"/>
        </w:rPr>
        <w:t xml:space="preserve">, </w:t>
      </w:r>
      <w:r>
        <w:rPr>
          <w:shd w:fill="000000" w:val="clear"/>
          <w:lang w:val="en-US"/>
        </w:rPr>
        <w:t>xxxxxx</w:t>
      </w:r>
      <w:r>
        <w:rPr>
          <w:lang w:val="sr-CS"/>
        </w:rPr>
        <w:t xml:space="preserve">,  поднела је захтев овом органу </w:t>
      </w:r>
      <w:r>
        <w:rPr>
          <w:lang w:val="sr-RS"/>
        </w:rPr>
        <w:t>у својству пуномоћника</w:t>
      </w:r>
      <w:r>
        <w:rPr>
          <w:lang w:val="sr-CS"/>
        </w:rPr>
        <w:t>, под бројем 350-</w:t>
      </w:r>
      <w:r>
        <w:rPr>
          <w:lang w:val="sr-RS"/>
        </w:rPr>
        <w:t>46</w:t>
      </w:r>
      <w:r>
        <w:rPr>
          <w:lang w:val="sr-CS"/>
        </w:rPr>
        <w:t xml:space="preserve">/2015-04 </w:t>
      </w:r>
      <w:r>
        <w:rPr>
          <w:b w:val="false"/>
          <w:bCs w:val="false"/>
          <w:lang w:val="sr-RS"/>
        </w:rPr>
        <w:t>(</w:t>
      </w:r>
      <w:r>
        <w:rPr>
          <w:b w:val="false"/>
          <w:bCs w:val="false"/>
          <w:sz w:val="24"/>
          <w:lang w:val="sr-CS"/>
        </w:rPr>
        <w:t>ROP-HAN-8432-LOCH-2/</w:t>
      </w:r>
      <w:r>
        <w:rPr>
          <w:b w:val="false"/>
          <w:bCs w:val="false"/>
          <w:sz w:val="24"/>
          <w:lang w:val="sr-RS"/>
        </w:rPr>
        <w:t>2016)</w:t>
      </w:r>
      <w:r>
        <w:rPr>
          <w:b/>
          <w:bCs/>
          <w:sz w:val="24"/>
          <w:lang w:val="sr-RS"/>
        </w:rPr>
        <w:t xml:space="preserve"> </w:t>
      </w:r>
      <w:r>
        <w:rPr>
          <w:lang w:val="sr-RS"/>
        </w:rPr>
        <w:t>за</w:t>
      </w:r>
      <w:r>
        <w:rPr>
          <w:lang w:val="sr-CS"/>
        </w:rPr>
        <w:t xml:space="preserve"> издавање локацијских услова </w:t>
      </w:r>
      <w:r>
        <w:rPr>
          <w:bCs/>
          <w:lang w:val="sr-CS"/>
        </w:rPr>
        <w:t>за</w:t>
      </w:r>
      <w:r>
        <w:rPr>
          <w:lang w:val="sr-CS"/>
        </w:rPr>
        <w:t xml:space="preserve"> изградњу </w:t>
      </w:r>
      <w:r>
        <w:rPr>
          <w:color w:val="00000A"/>
          <w:sz w:val="24"/>
          <w:lang w:val="sr-CS"/>
        </w:rPr>
        <w:t xml:space="preserve">комплекса стамбених објеката-монтажних кућа спратности П на кп.бр. </w:t>
      </w:r>
      <w:r>
        <w:rPr>
          <w:b w:val="false"/>
          <w:bCs w:val="false"/>
          <w:color w:val="00000A"/>
          <w:sz w:val="24"/>
          <w:lang w:val="sr-CS"/>
        </w:rPr>
        <w:t xml:space="preserve">2159/2 </w:t>
      </w:r>
      <w:r>
        <w:rPr>
          <w:b w:val="false"/>
          <w:bCs w:val="false"/>
          <w:color w:val="00000A"/>
          <w:sz w:val="24"/>
          <w:lang w:val="sr-RS"/>
        </w:rPr>
        <w:t xml:space="preserve">и деловима кп.бр. </w:t>
      </w:r>
      <w:r>
        <w:rPr>
          <w:b w:val="false"/>
          <w:bCs w:val="false"/>
          <w:color w:val="00000A"/>
          <w:sz w:val="24"/>
          <w:lang w:val="sr-CS"/>
        </w:rPr>
        <w:t>2158/2, 2159/1, 2160, 2167/1, 2167/2, 2167/3 и 2150 све КО Прекодолце</w:t>
      </w:r>
      <w:r>
        <w:rPr>
          <w:b w:val="false"/>
          <w:bCs w:val="false"/>
          <w:lang w:val="en-US"/>
        </w:rPr>
        <w:t>,</w:t>
      </w:r>
      <w:r>
        <w:rPr>
          <w:b w:val="false"/>
          <w:bCs w:val="false"/>
          <w:lang w:val="sr-CS"/>
        </w:rPr>
        <w:t xml:space="preserve"> </w:t>
      </w:r>
      <w:r>
        <w:rPr>
          <w:lang w:val="sr-CS"/>
        </w:rPr>
        <w:t xml:space="preserve"> категорије </w:t>
      </w:r>
      <w:r>
        <w:rPr>
          <w:lang w:val="sr-RS"/>
        </w:rPr>
        <w:t>А</w:t>
      </w:r>
      <w:r>
        <w:rPr>
          <w:lang w:val="sr-CS"/>
        </w:rPr>
        <w:t xml:space="preserve">, класификациони бр. </w:t>
      </w:r>
      <w:r>
        <w:rPr>
          <w:lang w:val="sr-RS"/>
        </w:rPr>
        <w:t>111011 и 112111</w:t>
      </w:r>
      <w:r>
        <w:rPr>
          <w:lang w:val="sr-CS"/>
        </w:rPr>
        <w:t xml:space="preserve">, </w:t>
      </w:r>
      <w:r>
        <w:rPr>
          <w:lang w:val="sr-RS"/>
        </w:rPr>
        <w:t xml:space="preserve">инвеститору Општина Владичин Хан, </w:t>
      </w:r>
      <w:r>
        <w:rPr>
          <w:shd w:fill="000000" w:val="clear"/>
          <w:lang w:val="en-US"/>
        </w:rPr>
        <w:t>xxxxxxxxx</w:t>
      </w:r>
      <w:r>
        <w:rPr>
          <w:lang w:val="sr-RS"/>
        </w:rPr>
        <w:t>,</w:t>
      </w:r>
      <w:r>
        <w:rPr>
          <w:lang w:val="sr-CS"/>
        </w:rPr>
        <w:t xml:space="preserve"> а на основу члана 53а. </w:t>
      </w:r>
      <w:r>
        <w:rPr>
          <w:lang w:val="en-US"/>
        </w:rPr>
        <w:t>54</w:t>
      </w:r>
      <w:r>
        <w:rPr>
          <w:lang w:val="sr-CS"/>
        </w:rPr>
        <w:t xml:space="preserve">. </w:t>
      </w:r>
      <w:r>
        <w:rPr>
          <w:lang w:val="en-US"/>
        </w:rPr>
        <w:t>55</w:t>
      </w:r>
      <w:r>
        <w:rPr>
          <w:lang w:val="sr-CS"/>
        </w:rPr>
        <w:t xml:space="preserve">. </w:t>
      </w:r>
      <w:r>
        <w:rPr>
          <w:lang w:val="en-US"/>
        </w:rPr>
        <w:t>56</w:t>
      </w:r>
      <w:r>
        <w:rPr>
          <w:lang w:val="sr-CS"/>
        </w:rPr>
        <w:t>.</w:t>
      </w:r>
      <w:r>
        <w:rPr>
          <w:lang w:val="en-US"/>
        </w:rPr>
        <w:t xml:space="preserve"> </w:t>
      </w:r>
      <w:r>
        <w:rPr>
          <w:lang w:val="sr-CS"/>
        </w:rPr>
        <w:t>и 57. Закона о планирању и изградњи РС („Сл. Гласник РС“, број 72/09, 81/09, 24/2011, 121/2012, 132/2014 и 145/2014).</w:t>
      </w:r>
    </w:p>
    <w:p>
      <w:pPr>
        <w:pStyle w:val="Normal"/>
        <w:ind w:firstLine="720"/>
        <w:jc w:val="both"/>
        <w:rPr>
          <w:lang w:val="sr-CS"/>
        </w:rPr>
      </w:pPr>
      <w:r>
        <w:rPr>
          <w:lang w:val="sr-CS"/>
        </w:rPr>
      </w:r>
    </w:p>
    <w:p>
      <w:pPr>
        <w:pStyle w:val="Normal"/>
        <w:ind w:firstLine="720"/>
        <w:jc w:val="both"/>
        <w:rPr/>
      </w:pPr>
      <w:r>
        <w:rPr>
          <w:lang w:val="sr-CS"/>
        </w:rPr>
        <w:t xml:space="preserve">Уз захтев за издавање локацијских услова је приложено </w:t>
      </w:r>
      <w:r>
        <w:rPr/>
        <w:t xml:space="preserve">идејно решење </w:t>
      </w:r>
      <w:r>
        <w:rPr>
          <w:lang w:val="sr-CS"/>
        </w:rPr>
        <w:t xml:space="preserve"> планираног </w:t>
      </w:r>
      <w:r>
        <w:rPr>
          <w:color w:val="00000A"/>
          <w:sz w:val="24"/>
          <w:lang w:val="sr-CS"/>
        </w:rPr>
        <w:t>комплекса стамбених објеката-монтажних кућа</w:t>
      </w:r>
      <w:r>
        <w:rPr>
          <w:bCs/>
          <w:lang w:val="sr-CS"/>
        </w:rPr>
        <w:t>,</w:t>
      </w:r>
      <w:r>
        <w:rPr/>
        <w:t xml:space="preserve"> </w:t>
      </w:r>
      <w:r>
        <w:rPr>
          <w:lang w:val="sr-CS"/>
        </w:rPr>
        <w:t xml:space="preserve">израђено од стране </w:t>
      </w:r>
      <w:r>
        <w:rPr>
          <w:lang w:val="sr-RS"/>
        </w:rPr>
        <w:t>Ђорђевић градња</w:t>
      </w:r>
      <w:r>
        <w:rPr>
          <w:lang w:val="sr-CS"/>
        </w:rPr>
        <w:t xml:space="preserve">, </w:t>
      </w:r>
      <w:r>
        <w:rPr>
          <w:lang w:val="sr-RS"/>
        </w:rPr>
        <w:t xml:space="preserve">биро за пројектовање и изградњу, Ниш, </w:t>
      </w:r>
      <w:r>
        <w:rPr>
          <w:lang w:val="sr-CS"/>
        </w:rPr>
        <w:t xml:space="preserve">под бр. </w:t>
      </w:r>
      <w:r>
        <w:rPr>
          <w:lang w:val="en-US"/>
        </w:rPr>
        <w:t xml:space="preserve">29/III-16, </w:t>
      </w:r>
      <w:r>
        <w:rPr>
          <w:lang w:val="sr-RS"/>
        </w:rPr>
        <w:t>29.03.2016</w:t>
      </w:r>
      <w:r>
        <w:rPr>
          <w:lang w:val="sr-CS"/>
        </w:rPr>
        <w:t>.</w:t>
      </w:r>
    </w:p>
    <w:p>
      <w:pPr>
        <w:pStyle w:val="Normal"/>
        <w:ind w:firstLine="720"/>
        <w:jc w:val="both"/>
        <w:rPr>
          <w:lang w:val="sr-CS"/>
        </w:rPr>
      </w:pPr>
      <w:r>
        <w:rPr>
          <w:lang w:val="sr-CS"/>
        </w:rPr>
      </w:r>
    </w:p>
    <w:p>
      <w:pPr>
        <w:pStyle w:val="Normal"/>
        <w:ind w:firstLine="720"/>
        <w:jc w:val="both"/>
        <w:rPr/>
      </w:pPr>
      <w:r>
        <w:rPr>
          <w:lang w:val="sr-CS"/>
        </w:rPr>
        <w:t xml:space="preserve">У оквиру </w:t>
      </w:r>
      <w:r>
        <w:rPr>
          <w:lang w:val="sr-RS"/>
        </w:rPr>
        <w:t xml:space="preserve">електронске </w:t>
      </w:r>
      <w:r>
        <w:rPr>
          <w:lang w:val="sr-CS"/>
        </w:rPr>
        <w:t xml:space="preserve">обједињене процедуре надлежни орган је по службеној дужности прибавио </w:t>
      </w:r>
      <w:r>
        <w:rPr>
          <w:lang w:val="sr-RS"/>
        </w:rPr>
        <w:t xml:space="preserve">копију плана бр. </w:t>
      </w:r>
      <w:r>
        <w:rPr>
          <w:lang w:val="en-US"/>
        </w:rPr>
        <w:t xml:space="preserve">953-1/2016-75 </w:t>
      </w:r>
      <w:r>
        <w:rPr>
          <w:lang w:val="sr-RS"/>
        </w:rPr>
        <w:t xml:space="preserve">од 18.05.2016.године </w:t>
      </w:r>
      <w:r>
        <w:rPr>
          <w:lang w:val="sr-CS"/>
        </w:rPr>
        <w:t xml:space="preserve">и извештај </w:t>
      </w:r>
      <w:r>
        <w:rPr>
          <w:lang w:val="sr-RS"/>
        </w:rPr>
        <w:t xml:space="preserve"> </w:t>
      </w:r>
      <w:r>
        <w:rPr>
          <w:lang w:val="sr-CS"/>
        </w:rPr>
        <w:t xml:space="preserve">да за територију Општине Владичин Хан није формиран катастар подземних водова и инсталација </w:t>
      </w:r>
      <w:r>
        <w:rPr>
          <w:lang w:val="sr-RS"/>
        </w:rPr>
        <w:t>бр. 956-01-4/2016 од 18.05.2016.године</w:t>
      </w:r>
      <w:r>
        <w:rPr>
          <w:lang w:val="sr-CS"/>
        </w:rPr>
        <w:t xml:space="preserve"> издат</w:t>
      </w:r>
      <w:r>
        <w:rPr>
          <w:lang w:val="sr-RS"/>
        </w:rPr>
        <w:t>е</w:t>
      </w:r>
      <w:r>
        <w:rPr>
          <w:lang w:val="sr-CS"/>
        </w:rPr>
        <w:t xml:space="preserve"> од стране Службе за катастар непокретности </w:t>
      </w:r>
      <w:r>
        <w:rPr>
          <w:lang w:val="sr-RS"/>
        </w:rPr>
        <w:t xml:space="preserve">Владичин Хан, као и </w:t>
      </w:r>
      <w:r>
        <w:rPr>
          <w:lang w:val="sr-CS"/>
        </w:rPr>
        <w:t xml:space="preserve">услове за пројектовање и прикључење од стране имаоца јавних овлашћења </w:t>
      </w:r>
      <w:r>
        <w:rPr>
          <w:lang w:val="sr-RS"/>
        </w:rPr>
        <w:t>који су саставни део ових локацијских услова.</w:t>
      </w:r>
    </w:p>
    <w:p>
      <w:pPr>
        <w:pStyle w:val="Normal"/>
        <w:ind w:firstLine="720"/>
        <w:jc w:val="both"/>
        <w:rPr>
          <w:lang w:val="sr-CS"/>
        </w:rPr>
      </w:pPr>
      <w:r>
        <w:rPr>
          <w:lang w:val="sr-CS"/>
        </w:rPr>
      </w:r>
    </w:p>
    <w:p>
      <w:pPr>
        <w:pStyle w:val="Normal"/>
        <w:ind w:firstLine="720"/>
        <w:jc w:val="both"/>
        <w:rPr/>
      </w:pPr>
      <w:r>
        <w:rPr>
          <w:lang w:val="sr-CS"/>
        </w:rPr>
        <w:t xml:space="preserve">Одељење за урбанизам, имовинско-правне, комуналне и грађевинске послове Општинске управе Општине  Владичин Хан, је ценило приложене доказе, па је на основу члана 53а. </w:t>
      </w:r>
      <w:r>
        <w:rPr>
          <w:lang w:val="en-US"/>
        </w:rPr>
        <w:t>54</w:t>
      </w:r>
      <w:r>
        <w:rPr>
          <w:lang w:val="sr-CS"/>
        </w:rPr>
        <w:t xml:space="preserve">. </w:t>
      </w:r>
      <w:r>
        <w:rPr>
          <w:lang w:val="en-US"/>
        </w:rPr>
        <w:t>55</w:t>
      </w:r>
      <w:r>
        <w:rPr>
          <w:lang w:val="sr-CS"/>
        </w:rPr>
        <w:t xml:space="preserve">. </w:t>
      </w:r>
      <w:r>
        <w:rPr>
          <w:lang w:val="en-US"/>
        </w:rPr>
        <w:t>56</w:t>
      </w:r>
      <w:r>
        <w:rPr>
          <w:lang w:val="sr-CS"/>
        </w:rPr>
        <w:t>.</w:t>
      </w:r>
      <w:r>
        <w:rPr>
          <w:lang w:val="en-US"/>
        </w:rPr>
        <w:t xml:space="preserve"> </w:t>
      </w:r>
      <w:r>
        <w:rPr>
          <w:lang w:val="sr-CS"/>
        </w:rPr>
        <w:t xml:space="preserve">и 57. Закона о планирању и изградњи РС („Сл. Гласник РС“, број 72/09, 81/09, 24/2011, 121/2012, 132/2014 и 145/2014), Правилника о класификацији објеката („Сл. Гласник РС“, број 22/2015), Правилника о </w:t>
      </w:r>
      <w:r>
        <w:rPr>
          <w:lang w:val="sr-RS"/>
        </w:rPr>
        <w:t xml:space="preserve">поступку спровођења </w:t>
      </w:r>
      <w:r>
        <w:rPr>
          <w:lang w:val="sr-CS"/>
        </w:rPr>
        <w:t>обједињ</w:t>
      </w:r>
      <w:r>
        <w:rPr>
          <w:lang w:val="sr-RS"/>
        </w:rPr>
        <w:t>ене</w:t>
      </w:r>
      <w:r>
        <w:rPr>
          <w:lang w:val="sr-CS"/>
        </w:rPr>
        <w:t xml:space="preserve"> процедур</w:t>
      </w:r>
      <w:r>
        <w:rPr>
          <w:lang w:val="sr-RS"/>
        </w:rPr>
        <w:t>е електронским путем</w:t>
      </w:r>
      <w:r>
        <w:rPr>
          <w:lang w:val="sr-CS"/>
        </w:rPr>
        <w:t xml:space="preserve"> („Сл. Гласник РС“, број </w:t>
      </w:r>
      <w:r>
        <w:rPr>
          <w:lang w:val="sr-RS"/>
        </w:rPr>
        <w:t>113</w:t>
      </w:r>
      <w:r>
        <w:rPr>
          <w:lang w:val="sr-CS"/>
        </w:rPr>
        <w:t xml:space="preserve">/2015)  </w:t>
      </w:r>
      <w:r>
        <w:rPr>
          <w:lang w:val="en-US"/>
        </w:rPr>
        <w:t>и</w:t>
      </w:r>
      <w:r>
        <w:rPr>
          <w:lang w:val="sr-CS"/>
        </w:rPr>
        <w:t xml:space="preserve"> Просторног плана Општине  Владичин Хан („Сл. Гласник Града Врања“, број 22/2010) </w:t>
      </w:r>
      <w:r>
        <w:rPr>
          <w:lang w:val="en-US"/>
        </w:rPr>
        <w:t xml:space="preserve"> </w:t>
      </w:r>
      <w:r>
        <w:rPr>
          <w:lang w:val="sr-CS"/>
        </w:rPr>
        <w:t>одлучено као у диспозитиву локацијских услова.</w:t>
      </w:r>
    </w:p>
    <w:p>
      <w:pPr>
        <w:pStyle w:val="Normal"/>
        <w:jc w:val="both"/>
        <w:rPr>
          <w:lang w:val="sr-CS"/>
        </w:rPr>
      </w:pPr>
      <w:r>
        <w:rPr>
          <w:lang w:val="sr-CS"/>
        </w:rPr>
      </w:r>
    </w:p>
    <w:p>
      <w:pPr>
        <w:pStyle w:val="Uvlaenjetelateksta21"/>
        <w:ind w:firstLine="720"/>
        <w:rPr/>
      </w:pPr>
      <w:r>
        <w:rPr>
          <w:b/>
        </w:rPr>
        <w:t>УПУТСТВО О ПРАВНОМ СРЕДСТВУ:</w:t>
      </w:r>
      <w:r>
        <w:rPr/>
        <w:t xml:space="preserve"> На издате локацијске услове се може поднети приговор надлежном општинском већу, у року од три дана од дана достављања локацијских услова.</w:t>
        <w:tab/>
        <w:tab/>
        <w:tab/>
        <w:tab/>
        <w:tab/>
        <w:tab/>
      </w:r>
    </w:p>
    <w:p>
      <w:pPr>
        <w:pStyle w:val="Normal"/>
        <w:jc w:val="both"/>
        <w:rPr>
          <w:lang w:val="sr-CS"/>
        </w:rPr>
      </w:pPr>
      <w:r>
        <w:rPr>
          <w:lang w:val="sr-CS"/>
        </w:rPr>
      </w:r>
    </w:p>
    <w:p>
      <w:pPr>
        <w:pStyle w:val="Normal"/>
        <w:jc w:val="both"/>
        <w:rPr/>
      </w:pPr>
      <w:r>
        <w:rPr>
          <w:b/>
          <w:lang w:val="sr-CS"/>
        </w:rPr>
        <w:t xml:space="preserve">                                                       </w:t>
      </w:r>
      <w:r>
        <w:rPr>
          <w:b/>
          <w:lang w:val="sr-CS"/>
        </w:rPr>
        <w:tab/>
        <w:tab/>
        <w:tab/>
        <w:t>РУКОВОДИЛАЦ ОДЕЉЕЊА</w:t>
      </w:r>
    </w:p>
    <w:p>
      <w:pPr>
        <w:pStyle w:val="Normal"/>
        <w:jc w:val="both"/>
        <w:rPr/>
      </w:pPr>
      <w:r>
        <w:rPr>
          <w:b/>
          <w:lang w:val="sr-CS"/>
        </w:rPr>
        <w:t xml:space="preserve"> </w:t>
      </w:r>
      <w:r>
        <w:rPr>
          <w:b/>
          <w:lang w:val="en-US"/>
        </w:rPr>
        <w:t xml:space="preserve">        </w:t>
      </w:r>
      <w:r>
        <w:rPr>
          <w:b/>
          <w:lang w:val="sr-CS"/>
        </w:rPr>
        <w:t xml:space="preserve">                 </w:t>
      </w:r>
      <w:r>
        <w:rPr>
          <w:b/>
          <w:lang w:val="en-US"/>
        </w:rPr>
        <w:t xml:space="preserve">   </w:t>
      </w:r>
      <w:r>
        <w:rPr>
          <w:b/>
          <w:lang w:val="sr-CS"/>
        </w:rPr>
        <w:t xml:space="preserve">       </w:t>
      </w:r>
      <w:r>
        <w:rPr>
          <w:b/>
          <w:lang w:val="sr-CS"/>
        </w:rPr>
        <w:tab/>
        <w:tab/>
        <w:tab/>
        <w:t xml:space="preserve">       Љиљана Мујагић, дипл. пр. планер   </w:t>
      </w:r>
    </w:p>
    <w:p>
      <w:pPr>
        <w:pStyle w:val="Normal"/>
        <w:jc w:val="both"/>
        <w:rPr/>
      </w:pPr>
      <w:r>
        <w:rPr>
          <w:b/>
          <w:lang w:val="sr-CS"/>
        </w:rPr>
        <w:t xml:space="preserve">                                     </w:t>
      </w:r>
    </w:p>
    <w:p>
      <w:pPr>
        <w:pStyle w:val="Normal"/>
        <w:tabs>
          <w:tab w:val="left" w:pos="8355" w:leader="none"/>
        </w:tabs>
        <w:rPr/>
      </w:pPr>
      <w:r>
        <w:rPr>
          <w:lang w:val="sr-CS"/>
        </w:rPr>
        <w:t xml:space="preserve">                                                                                                  </w:t>
      </w:r>
    </w:p>
    <w:sectPr>
      <w:type w:val="nextPage"/>
      <w:pgSz w:w="11906" w:h="16838"/>
      <w:pgMar w:left="1418" w:right="1418" w:header="0" w:top="567" w:footer="0" w:bottom="28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7"/>
      <w:numFmt w:val="bullet"/>
      <w:lvlText w:val=""/>
      <w:lvlJc w:val="left"/>
      <w:pPr>
        <w:tabs>
          <w:tab w:val="num" w:pos="2340"/>
        </w:tabs>
        <w:ind w:left="2340" w:hanging="360"/>
      </w:pPr>
      <w:rPr>
        <w:rFonts w:ascii="Symbol" w:hAnsi="Symbol" w:cs="Symbol" w:hint="default"/>
        <w:b/>
      </w:rPr>
    </w:lvl>
    <w:lvl w:ilvl="1">
      <w:start w:val="1"/>
      <w:numFmt w:val="bullet"/>
      <w:lvlText w:val="o"/>
      <w:lvlJc w:val="left"/>
      <w:pPr>
        <w:tabs>
          <w:tab w:val="num" w:pos="3060"/>
        </w:tabs>
        <w:ind w:left="3060" w:hanging="360"/>
      </w:pPr>
      <w:rPr>
        <w:rFonts w:ascii="Courier New" w:hAnsi="Courier New" w:cs="Courier New" w:hint="default"/>
      </w:rPr>
    </w:lvl>
    <w:lvl w:ilvl="2">
      <w:start w:val="1"/>
      <w:numFmt w:val="bullet"/>
      <w:lvlText w:val=""/>
      <w:lvlJc w:val="left"/>
      <w:pPr>
        <w:tabs>
          <w:tab w:val="num" w:pos="3780"/>
        </w:tabs>
        <w:ind w:left="3780" w:hanging="360"/>
      </w:pPr>
      <w:rPr>
        <w:rFonts w:ascii="Wingdings" w:hAnsi="Wingdings" w:cs="Wingdings" w:hint="default"/>
        <w:b/>
      </w:rPr>
    </w:lvl>
    <w:lvl w:ilvl="3">
      <w:start w:val="1"/>
      <w:numFmt w:val="bullet"/>
      <w:lvlText w:val=""/>
      <w:lvlJc w:val="left"/>
      <w:pPr>
        <w:tabs>
          <w:tab w:val="num" w:pos="4500"/>
        </w:tabs>
        <w:ind w:left="4500" w:hanging="360"/>
      </w:pPr>
      <w:rPr>
        <w:rFonts w:ascii="Symbol" w:hAnsi="Symbol" w:cs="Symbol" w:hint="default"/>
        <w:b/>
      </w:rPr>
    </w:lvl>
    <w:lvl w:ilvl="4">
      <w:start w:val="1"/>
      <w:numFmt w:val="bullet"/>
      <w:lvlText w:val="o"/>
      <w:lvlJc w:val="left"/>
      <w:pPr>
        <w:tabs>
          <w:tab w:val="num" w:pos="5220"/>
        </w:tabs>
        <w:ind w:left="5220" w:hanging="360"/>
      </w:pPr>
      <w:rPr>
        <w:rFonts w:ascii="Courier New" w:hAnsi="Courier New" w:cs="Courier New" w:hint="default"/>
      </w:rPr>
    </w:lvl>
    <w:lvl w:ilvl="5">
      <w:start w:val="1"/>
      <w:numFmt w:val="bullet"/>
      <w:lvlText w:val=""/>
      <w:lvlJc w:val="left"/>
      <w:pPr>
        <w:tabs>
          <w:tab w:val="num" w:pos="5940"/>
        </w:tabs>
        <w:ind w:left="5940" w:hanging="360"/>
      </w:pPr>
      <w:rPr>
        <w:rFonts w:ascii="Wingdings" w:hAnsi="Wingdings" w:cs="Wingdings" w:hint="default"/>
        <w:b/>
      </w:rPr>
    </w:lvl>
    <w:lvl w:ilvl="6">
      <w:start w:val="1"/>
      <w:numFmt w:val="bullet"/>
      <w:lvlText w:val=""/>
      <w:lvlJc w:val="left"/>
      <w:pPr>
        <w:tabs>
          <w:tab w:val="num" w:pos="6660"/>
        </w:tabs>
        <w:ind w:left="6660" w:hanging="360"/>
      </w:pPr>
      <w:rPr>
        <w:rFonts w:ascii="Symbol" w:hAnsi="Symbol" w:cs="Symbol" w:hint="default"/>
        <w:b/>
      </w:rPr>
    </w:lvl>
    <w:lvl w:ilvl="7">
      <w:start w:val="1"/>
      <w:numFmt w:val="bullet"/>
      <w:lvlText w:val="o"/>
      <w:lvlJc w:val="left"/>
      <w:pPr>
        <w:tabs>
          <w:tab w:val="num" w:pos="7380"/>
        </w:tabs>
        <w:ind w:left="7380" w:hanging="360"/>
      </w:pPr>
      <w:rPr>
        <w:rFonts w:ascii="Courier New" w:hAnsi="Courier New" w:cs="Courier New" w:hint="default"/>
      </w:rPr>
    </w:lvl>
    <w:lvl w:ilvl="8">
      <w:start w:val="1"/>
      <w:numFmt w:val="bullet"/>
      <w:lvlText w:val=""/>
      <w:lvlJc w:val="left"/>
      <w:pPr>
        <w:tabs>
          <w:tab w:val="num" w:pos="8100"/>
        </w:tabs>
        <w:ind w:left="8100" w:hanging="360"/>
      </w:pPr>
      <w:rPr>
        <w:rFonts w:ascii="Wingdings" w:hAnsi="Wingdings" w:cs="Wingdings" w:hint="default"/>
        <w:b/>
      </w:rPr>
    </w:lvl>
  </w:abstractNum>
  <w:abstractNum w:abstractNumId="2">
    <w:lvl w:ilvl="0">
      <w:start w:val="27"/>
      <w:numFmt w:val="bullet"/>
      <w:lvlText w:val=""/>
      <w:lvlJc w:val="left"/>
      <w:pPr>
        <w:tabs>
          <w:tab w:val="num" w:pos="2340"/>
        </w:tabs>
        <w:ind w:left="234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440" w:hanging="360"/>
      </w:pPr>
      <w:rPr>
        <w:rFonts w:ascii="Symbol" w:hAnsi="Symbol" w:cs="Symbol"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rPr>
    </w:lvl>
    <w:lvl w:ilvl="3">
      <w:start w:val="1"/>
      <w:numFmt w:val="bullet"/>
      <w:lvlText w:val=""/>
      <w:lvlJc w:val="left"/>
      <w:pPr>
        <w:ind w:left="3600" w:hanging="360"/>
      </w:pPr>
      <w:rPr>
        <w:rFonts w:ascii="Symbol" w:hAnsi="Symbol" w:cs="Symbol" w:hint="default"/>
        <w:b/>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rPr>
    </w:lvl>
    <w:lvl w:ilvl="6">
      <w:start w:val="1"/>
      <w:numFmt w:val="bullet"/>
      <w:lvlText w:val=""/>
      <w:lvlJc w:val="left"/>
      <w:pPr>
        <w:ind w:left="5760" w:hanging="360"/>
      </w:pPr>
      <w:rPr>
        <w:rFonts w:ascii="Symbol" w:hAnsi="Symbol" w:cs="Symbol" w:hint="default"/>
        <w:b/>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20"/>
  <w:compat/>
  <w:themeFontLang w:val="sr-Cyrl-C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04ea3"/>
    <w:pPr>
      <w:widowControl/>
      <w:suppressAutoHyphens w:val="true"/>
      <w:bidi w:val="0"/>
      <w:jc w:val="left"/>
    </w:pPr>
    <w:rPr>
      <w:rFonts w:ascii="Times New Roman" w:hAnsi="Times New Roman" w:eastAsia="Times New Roman" w:cs="Times New Roman"/>
      <w:color w:val="00000A"/>
      <w:sz w:val="24"/>
      <w:szCs w:val="24"/>
      <w:lang w:val="en-GB" w:eastAsia="en-US" w:bidi="ar-SA"/>
    </w:rPr>
  </w:style>
  <w:style w:type="paragraph" w:styleId="Heading1">
    <w:name w:val="Heading 1"/>
    <w:basedOn w:val="Normal"/>
    <w:next w:val="Normal"/>
    <w:qFormat/>
    <w:rsid w:val="00304ea3"/>
    <w:pPr>
      <w:keepNext/>
      <w:jc w:val="center"/>
      <w:outlineLvl w:val="0"/>
    </w:pPr>
    <w:rPr>
      <w:b/>
      <w:bCs/>
      <w:lang w:val="sr-CS"/>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qFormat/>
    <w:rsid w:val="009c1672"/>
    <w:rPr>
      <w:rFonts w:ascii="Tahoma" w:hAnsi="Tahoma" w:cs="Tahoma"/>
      <w:sz w:val="16"/>
      <w:szCs w:val="16"/>
      <w:lang w:eastAsia="en-US"/>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Times New Roman"/>
    </w:rPr>
  </w:style>
  <w:style w:type="character" w:styleId="ListLabel4">
    <w:name w:val="ListLabel 4"/>
    <w:qFormat/>
    <w:rPr>
      <w:rFonts w:cs="Symbol"/>
      <w:b/>
    </w:rPr>
  </w:style>
  <w:style w:type="character" w:styleId="ListLabel5">
    <w:name w:val="ListLabel 5"/>
    <w:qFormat/>
    <w:rPr>
      <w:rFonts w:cs="Courier New"/>
    </w:rPr>
  </w:style>
  <w:style w:type="character" w:styleId="ListLabel6">
    <w:name w:val="ListLabel 6"/>
    <w:qFormat/>
    <w:rPr>
      <w:rFonts w:cs="Wingdings"/>
      <w:b/>
    </w:rPr>
  </w:style>
  <w:style w:type="character" w:styleId="ListLabel7">
    <w:name w:val="ListLabel 7"/>
    <w:qFormat/>
    <w:rPr>
      <w:rFonts w:cs="Symbol"/>
      <w:b/>
    </w:rPr>
  </w:style>
  <w:style w:type="character" w:styleId="ListLabel8">
    <w:name w:val="ListLabel 8"/>
    <w:qFormat/>
    <w:rPr>
      <w:rFonts w:cs="Courier New"/>
    </w:rPr>
  </w:style>
  <w:style w:type="character" w:styleId="ListLabel9">
    <w:name w:val="ListLabel 9"/>
    <w:qFormat/>
    <w:rPr>
      <w:rFonts w:cs="Wingdings"/>
      <w:b/>
    </w:rPr>
  </w:style>
  <w:style w:type="character" w:styleId="ListLabel10">
    <w:name w:val="ListLabel 10"/>
    <w:qFormat/>
    <w:rPr>
      <w:rFonts w:cs="Wingdings"/>
      <w:b/>
    </w:rPr>
  </w:style>
  <w:style w:type="character" w:styleId="ListLabel11">
    <w:name w:val="ListLabel 11"/>
    <w:qFormat/>
    <w:rPr>
      <w:rFonts w:cs="Symbol"/>
      <w:b/>
    </w:rPr>
  </w:style>
  <w:style w:type="character" w:styleId="ListLabel12">
    <w:name w:val="ListLabel 12"/>
    <w:qFormat/>
    <w:rPr>
      <w:rFonts w:cs="Courier New"/>
    </w:rPr>
  </w:style>
  <w:style w:type="character" w:styleId="ListLabel13">
    <w:name w:val="ListLabel 13"/>
    <w:qFormat/>
    <w:rPr>
      <w:rFonts w:cs="Wingdings"/>
      <w:b/>
    </w:rPr>
  </w:style>
  <w:style w:type="character" w:styleId="NumberingSymbols">
    <w:name w:val="Numbering Symbols"/>
    <w:qFormat/>
    <w:rPr/>
  </w:style>
  <w:style w:type="character" w:styleId="ListLabel14">
    <w:name w:val="ListLabel 14"/>
    <w:qFormat/>
    <w:rPr>
      <w:rFonts w:cs="Symbol"/>
      <w:b/>
    </w:rPr>
  </w:style>
  <w:style w:type="character" w:styleId="ListLabel15">
    <w:name w:val="ListLabel 15"/>
    <w:qFormat/>
    <w:rPr>
      <w:rFonts w:cs="Courier New"/>
    </w:rPr>
  </w:style>
  <w:style w:type="character" w:styleId="ListLabel16">
    <w:name w:val="ListLabel 16"/>
    <w:qFormat/>
    <w:rPr>
      <w:rFonts w:cs="Wingdings"/>
      <w:b/>
    </w:rPr>
  </w:style>
  <w:style w:type="character" w:styleId="ListLabel17">
    <w:name w:val="ListLabel 17"/>
    <w:qFormat/>
    <w:rPr>
      <w:rFonts w:cs="Wingdings"/>
      <w:b/>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a7033d"/>
    <w:pPr>
      <w:spacing w:before="0" w:after="0"/>
      <w:ind w:left="720" w:hanging="0"/>
      <w:contextualSpacing/>
    </w:pPr>
    <w:rPr/>
  </w:style>
  <w:style w:type="paragraph" w:styleId="BalloonText">
    <w:name w:val="Balloon Text"/>
    <w:basedOn w:val="Normal"/>
    <w:link w:val="BalloonTextChar"/>
    <w:qFormat/>
    <w:rsid w:val="009c1672"/>
    <w:pPr/>
    <w:rPr>
      <w:rFonts w:ascii="Tahoma" w:hAnsi="Tahoma" w:cs="Tahoma"/>
      <w:sz w:val="16"/>
      <w:szCs w:val="16"/>
    </w:rPr>
  </w:style>
  <w:style w:type="paragraph" w:styleId="Uvlaenjetelateksta21" w:customStyle="1">
    <w:name w:val="Uvlačenje tela teksta 21"/>
    <w:basedOn w:val="Normal"/>
    <w:qFormat/>
    <w:rsid w:val="007769df"/>
    <w:pPr>
      <w:suppressAutoHyphens w:val="true"/>
      <w:ind w:firstLine="1080"/>
      <w:jc w:val="both"/>
    </w:pPr>
    <w:rPr>
      <w:lang w:val="sr-CS" w:eastAsia="ar-SA"/>
    </w:rPr>
  </w:style>
  <w:style w:type="paragraph" w:styleId="TEKST" w:customStyle="1">
    <w:name w:val="TEKST"/>
    <w:basedOn w:val="Normal"/>
    <w:qFormat/>
    <w:rsid w:val="007769df"/>
    <w:pPr>
      <w:spacing w:before="120" w:after="120"/>
      <w:ind w:firstLine="851"/>
      <w:jc w:val="both"/>
    </w:pPr>
    <w:rPr>
      <w:rFonts w:eastAsia="" w:eastAsiaTheme="minorEastAsia"/>
      <w:color w:val="000000"/>
      <w:szCs w:val="26"/>
      <w:lang w:val="en-US"/>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4195</TotalTime>
  <Application>LibreOffice/4.4.0.3$Windows_x86 LibreOffice_project/de093506bcdc5fafd9023ee680b8c60e3e0645d7</Application>
  <Paragraphs>78</Paragraphs>
  <Company>SO Vladicin Han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2015-07-09T10:46:00Z</dcterms:created>
  <dc:creator>Administrator</dc:creator>
  <dc:language>en-US</dc:language>
  <cp:lastPrinted>2015-12-02T07:33:00Z</cp:lastPrinted>
  <dcterms:modified xsi:type="dcterms:W3CDTF">2016-06-06T10:51:11Z</dcterms:modified>
  <cp:revision>21</cp:revision>
  <dc:title>Република Србија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SO Vladicin Han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