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0F" w:rsidRPr="00CB69D5" w:rsidRDefault="00B2090F" w:rsidP="00CB69D5">
      <w:pPr>
        <w:pStyle w:val="NoSpacing"/>
        <w:tabs>
          <w:tab w:val="left" w:pos="7532"/>
        </w:tabs>
        <w:rPr>
          <w:rFonts w:ascii="Times New Roman" w:hAnsi="Times New Roman"/>
          <w:b/>
          <w:sz w:val="24"/>
          <w:szCs w:val="24"/>
        </w:rPr>
      </w:pPr>
      <w:r w:rsidRPr="00CB69D5">
        <w:rPr>
          <w:rFonts w:ascii="Times New Roman" w:hAnsi="Times New Roman"/>
          <w:sz w:val="24"/>
          <w:szCs w:val="24"/>
        </w:rPr>
        <w:tab/>
      </w:r>
    </w:p>
    <w:p w:rsidR="0022399C" w:rsidRPr="00CB69D5" w:rsidRDefault="0022399C" w:rsidP="00CB69D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69D5">
        <w:rPr>
          <w:rFonts w:ascii="Times New Roman" w:hAnsi="Times New Roman"/>
          <w:sz w:val="24"/>
          <w:szCs w:val="24"/>
          <w:lang w:val="sr-Cyrl-CS"/>
        </w:rPr>
        <w:t xml:space="preserve">     </w:t>
      </w:r>
      <w:proofErr w:type="spellStart"/>
      <w:proofErr w:type="gramStart"/>
      <w:r w:rsidRPr="00CB69D5">
        <w:rPr>
          <w:rFonts w:ascii="Times New Roman" w:hAnsi="Times New Roman"/>
          <w:sz w:val="24"/>
          <w:szCs w:val="24"/>
        </w:rPr>
        <w:t>На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основу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члана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9D5">
        <w:rPr>
          <w:rFonts w:ascii="Times New Roman" w:hAnsi="Times New Roman"/>
          <w:sz w:val="24"/>
          <w:szCs w:val="24"/>
        </w:rPr>
        <w:t>Статута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Хан</w:t>
      </w:r>
      <w:proofErr w:type="spellEnd"/>
      <w:r w:rsidRPr="00CB69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69D5">
        <w:rPr>
          <w:rFonts w:ascii="Times New Roman" w:hAnsi="Times New Roman"/>
          <w:sz w:val="24"/>
          <w:szCs w:val="24"/>
        </w:rPr>
        <w:t>„</w:t>
      </w:r>
      <w:proofErr w:type="spellStart"/>
      <w:r w:rsidRPr="00CB69D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Града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Врања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B69D5">
        <w:rPr>
          <w:rFonts w:ascii="Times New Roman" w:hAnsi="Times New Roman"/>
          <w:sz w:val="24"/>
          <w:szCs w:val="24"/>
        </w:rPr>
        <w:t>број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r w:rsidR="00CB69D5" w:rsidRPr="00CB69D5">
        <w:rPr>
          <w:rFonts w:ascii="Times New Roman" w:hAnsi="Times New Roman"/>
          <w:sz w:val="24"/>
          <w:szCs w:val="24"/>
        </w:rPr>
        <w:t>7/202</w:t>
      </w:r>
      <w:r w:rsidR="00CB69D5" w:rsidRPr="00CB69D5">
        <w:rPr>
          <w:rFonts w:ascii="Times New Roman" w:hAnsi="Times New Roman"/>
          <w:sz w:val="24"/>
          <w:szCs w:val="24"/>
          <w:lang/>
        </w:rPr>
        <w:t>4</w:t>
      </w:r>
      <w:r w:rsidR="00CB69D5" w:rsidRPr="00CB69D5">
        <w:rPr>
          <w:rFonts w:ascii="Times New Roman" w:hAnsi="Times New Roman"/>
          <w:sz w:val="24"/>
          <w:szCs w:val="24"/>
        </w:rPr>
        <w:t>-</w:t>
      </w:r>
      <w:r w:rsidR="00CB69D5" w:rsidRPr="00CB69D5">
        <w:rPr>
          <w:rFonts w:ascii="Times New Roman" w:hAnsi="Times New Roman"/>
          <w:sz w:val="24"/>
          <w:szCs w:val="24"/>
          <w:lang/>
        </w:rPr>
        <w:t>пречишћен текст</w:t>
      </w:r>
      <w:r w:rsidRPr="00CB69D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B69D5">
        <w:rPr>
          <w:rFonts w:ascii="Times New Roman" w:hAnsi="Times New Roman"/>
          <w:sz w:val="24"/>
          <w:szCs w:val="24"/>
        </w:rPr>
        <w:t>члана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9D5">
        <w:rPr>
          <w:rFonts w:ascii="Times New Roman" w:hAnsi="Times New Roman"/>
          <w:sz w:val="24"/>
          <w:szCs w:val="24"/>
        </w:rPr>
        <w:t>Одлуке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већу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Хан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B69D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CB69D5">
        <w:rPr>
          <w:rFonts w:ascii="Times New Roman" w:hAnsi="Times New Roman"/>
          <w:sz w:val="24"/>
          <w:szCs w:val="24"/>
        </w:rPr>
        <w:t>број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r w:rsidR="00F23DA6" w:rsidRPr="00CB69D5">
        <w:rPr>
          <w:rFonts w:ascii="Times New Roman" w:hAnsi="Times New Roman"/>
          <w:sz w:val="24"/>
          <w:szCs w:val="24"/>
        </w:rPr>
        <w:t>9/19</w:t>
      </w:r>
      <w:r w:rsidRPr="00CB69D5">
        <w:rPr>
          <w:rFonts w:ascii="Times New Roman" w:hAnsi="Times New Roman"/>
          <w:sz w:val="24"/>
          <w:szCs w:val="24"/>
        </w:rPr>
        <w:t>),</w:t>
      </w:r>
      <w:r w:rsidRPr="00CB69D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члана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r w:rsidR="00CD4715" w:rsidRPr="00CB69D5">
        <w:rPr>
          <w:rFonts w:ascii="Times New Roman" w:hAnsi="Times New Roman"/>
          <w:sz w:val="24"/>
          <w:szCs w:val="24"/>
        </w:rPr>
        <w:t>73</w:t>
      </w:r>
      <w:r w:rsidRPr="00CB69D5">
        <w:rPr>
          <w:rFonts w:ascii="Times New Roman" w:hAnsi="Times New Roman"/>
          <w:sz w:val="24"/>
          <w:szCs w:val="24"/>
        </w:rPr>
        <w:t>.</w:t>
      </w:r>
      <w:proofErr w:type="gram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9D5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већа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Хан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B69D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Града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Врања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B69D5">
        <w:rPr>
          <w:rFonts w:ascii="Times New Roman" w:hAnsi="Times New Roman"/>
          <w:sz w:val="24"/>
          <w:szCs w:val="24"/>
        </w:rPr>
        <w:t>број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r w:rsidR="00CD4715" w:rsidRPr="00CB69D5">
        <w:rPr>
          <w:rFonts w:ascii="Times New Roman" w:hAnsi="Times New Roman"/>
          <w:sz w:val="24"/>
          <w:szCs w:val="24"/>
        </w:rPr>
        <w:t>31/20</w:t>
      </w:r>
      <w:r w:rsidRPr="00CB69D5">
        <w:rPr>
          <w:rFonts w:ascii="Times New Roman" w:hAnsi="Times New Roman"/>
          <w:sz w:val="24"/>
          <w:szCs w:val="24"/>
        </w:rPr>
        <w:t xml:space="preserve">) </w:t>
      </w:r>
      <w:r w:rsidRPr="00CB69D5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 w:rsidRPr="00CB69D5">
        <w:rPr>
          <w:rFonts w:ascii="Times New Roman" w:hAnsi="Times New Roman"/>
          <w:sz w:val="24"/>
          <w:szCs w:val="24"/>
        </w:rPr>
        <w:t>4</w:t>
      </w:r>
      <w:r w:rsidRPr="00CB69D5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CB69D5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 w:rsidRPr="00CB69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 w:rsidRPr="00CB69D5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и</w:t>
      </w:r>
      <w:r w:rsidRPr="00CB69D5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 w:rsidRPr="00CB69D5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CB69D5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 w:rsidRPr="00CB69D5">
        <w:rPr>
          <w:rFonts w:ascii="Times New Roman" w:hAnsi="Times New Roman"/>
          <w:sz w:val="24"/>
          <w:szCs w:val="24"/>
          <w:lang w:val="sr-Cyrl-CS"/>
        </w:rPr>
        <w:t>9</w:t>
      </w:r>
      <w:r w:rsidRPr="00CB69D5">
        <w:rPr>
          <w:rFonts w:ascii="Times New Roman" w:hAnsi="Times New Roman"/>
          <w:sz w:val="24"/>
          <w:szCs w:val="24"/>
          <w:lang w:val="sr-Cyrl-CS"/>
        </w:rPr>
        <w:t>/201</w:t>
      </w:r>
      <w:r w:rsidR="00F23DA6" w:rsidRPr="00CB69D5">
        <w:rPr>
          <w:rFonts w:ascii="Times New Roman" w:hAnsi="Times New Roman"/>
          <w:sz w:val="24"/>
          <w:szCs w:val="24"/>
          <w:lang w:val="sr-Cyrl-CS"/>
        </w:rPr>
        <w:t>9</w:t>
      </w:r>
      <w:r w:rsidRPr="00CB69D5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 w:rsidRPr="00CB69D5">
        <w:rPr>
          <w:rFonts w:ascii="Times New Roman" w:hAnsi="Times New Roman"/>
          <w:sz w:val="24"/>
          <w:szCs w:val="24"/>
        </w:rPr>
        <w:t>коначн</w:t>
      </w:r>
      <w:r w:rsidR="00CD4715" w:rsidRPr="00CB69D5">
        <w:rPr>
          <w:rFonts w:ascii="Times New Roman" w:hAnsi="Times New Roman"/>
          <w:sz w:val="24"/>
          <w:szCs w:val="24"/>
        </w:rPr>
        <w:t>у</w:t>
      </w:r>
      <w:proofErr w:type="spellEnd"/>
      <w:r w:rsidR="00CD4715"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715" w:rsidRPr="00CB69D5">
        <w:rPr>
          <w:rFonts w:ascii="Times New Roman" w:hAnsi="Times New Roman"/>
          <w:sz w:val="24"/>
          <w:szCs w:val="24"/>
        </w:rPr>
        <w:t>листу</w:t>
      </w:r>
      <w:proofErr w:type="spellEnd"/>
      <w:r w:rsidRPr="00CB69D5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C42CDF" w:rsidRPr="00CB69D5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CB69D5">
        <w:rPr>
          <w:rFonts w:ascii="Times New Roman" w:hAnsi="Times New Roman"/>
          <w:sz w:val="24"/>
          <w:szCs w:val="24"/>
          <w:lang w:val="sr-Cyrl-CS"/>
        </w:rPr>
        <w:t>избор пројекта/програма у култури који се финансирају или суфинасирају средств</w:t>
      </w:r>
      <w:r w:rsidR="00031208" w:rsidRPr="00CB69D5">
        <w:rPr>
          <w:rFonts w:ascii="Times New Roman" w:hAnsi="Times New Roman"/>
          <w:sz w:val="24"/>
          <w:szCs w:val="24"/>
          <w:lang w:val="sr-Cyrl-CS"/>
        </w:rPr>
        <w:t xml:space="preserve">има буџета општине Владичин Хан, </w:t>
      </w:r>
      <w:r w:rsidRPr="00CB69D5">
        <w:rPr>
          <w:rFonts w:ascii="Times New Roman" w:hAnsi="Times New Roman"/>
          <w:sz w:val="24"/>
          <w:szCs w:val="24"/>
          <w:lang w:val="sr-Cyrl-CS"/>
        </w:rPr>
        <w:t>по расписаном</w:t>
      </w:r>
      <w:r w:rsidR="003B338A" w:rsidRPr="00CB69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69D5">
        <w:rPr>
          <w:rFonts w:ascii="Times New Roman" w:hAnsi="Times New Roman"/>
          <w:sz w:val="24"/>
          <w:szCs w:val="24"/>
          <w:lang w:val="sr-Cyrl-CS"/>
        </w:rPr>
        <w:t>јавном позиву за избор пројекта /програма у култури који се финансирају или суфинасирају средствима буџета Општине Владичин Хан за 20</w:t>
      </w:r>
      <w:r w:rsidR="00D8318B" w:rsidRPr="00CB69D5">
        <w:rPr>
          <w:rFonts w:ascii="Times New Roman" w:hAnsi="Times New Roman"/>
          <w:sz w:val="24"/>
          <w:szCs w:val="24"/>
          <w:lang w:val="sr-Cyrl-CS"/>
        </w:rPr>
        <w:t>2</w:t>
      </w:r>
      <w:r w:rsidR="00DC1342" w:rsidRPr="00CB69D5">
        <w:rPr>
          <w:rFonts w:ascii="Times New Roman" w:hAnsi="Times New Roman"/>
          <w:sz w:val="24"/>
          <w:szCs w:val="24"/>
        </w:rPr>
        <w:t>4</w:t>
      </w:r>
      <w:r w:rsidRPr="00CB69D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B338A" w:rsidRPr="00CB69D5">
        <w:rPr>
          <w:rFonts w:ascii="Times New Roman" w:hAnsi="Times New Roman"/>
          <w:sz w:val="24"/>
          <w:szCs w:val="24"/>
          <w:lang w:val="sr-Cyrl-CS"/>
        </w:rPr>
        <w:t>г</w:t>
      </w:r>
      <w:r w:rsidRPr="00CB69D5">
        <w:rPr>
          <w:rFonts w:ascii="Times New Roman" w:hAnsi="Times New Roman"/>
          <w:sz w:val="24"/>
          <w:szCs w:val="24"/>
          <w:lang w:val="sr-Cyrl-CS"/>
        </w:rPr>
        <w:t>одину</w:t>
      </w:r>
      <w:r w:rsidR="003B338A" w:rsidRPr="00CB69D5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CB69D5" w:rsidRPr="00CB69D5">
        <w:rPr>
          <w:rFonts w:ascii="Times New Roman" w:hAnsi="Times New Roman"/>
          <w:sz w:val="24"/>
          <w:szCs w:val="24"/>
        </w:rPr>
        <w:t>06-36/2/24-III</w:t>
      </w:r>
      <w:r w:rsidR="00763964"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38A" w:rsidRPr="00CB69D5">
        <w:rPr>
          <w:rFonts w:ascii="Times New Roman" w:hAnsi="Times New Roman"/>
          <w:sz w:val="24"/>
          <w:szCs w:val="24"/>
        </w:rPr>
        <w:t>од</w:t>
      </w:r>
      <w:proofErr w:type="spellEnd"/>
      <w:r w:rsidR="003B338A" w:rsidRPr="00CB69D5">
        <w:rPr>
          <w:rFonts w:ascii="Times New Roman" w:hAnsi="Times New Roman"/>
          <w:sz w:val="24"/>
          <w:szCs w:val="24"/>
        </w:rPr>
        <w:t xml:space="preserve"> </w:t>
      </w:r>
      <w:r w:rsidR="00CB69D5" w:rsidRPr="00CB69D5">
        <w:rPr>
          <w:rFonts w:ascii="Times New Roman" w:hAnsi="Times New Roman"/>
          <w:sz w:val="24"/>
          <w:szCs w:val="24"/>
        </w:rPr>
        <w:t>29.03.2024</w:t>
      </w:r>
      <w:r w:rsidR="003B338A" w:rsidRPr="00CB69D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B338A" w:rsidRPr="00CB69D5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CB69D5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веће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Хан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на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дана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r w:rsidR="00CB69D5">
        <w:rPr>
          <w:rFonts w:ascii="Times New Roman" w:hAnsi="Times New Roman"/>
          <w:sz w:val="24"/>
          <w:szCs w:val="24"/>
          <w:lang/>
        </w:rPr>
        <w:t>17</w:t>
      </w:r>
      <w:r w:rsidR="000B0089" w:rsidRPr="00CB69D5">
        <w:rPr>
          <w:rFonts w:ascii="Times New Roman" w:hAnsi="Times New Roman"/>
          <w:sz w:val="24"/>
          <w:szCs w:val="24"/>
        </w:rPr>
        <w:t>.</w:t>
      </w:r>
      <w:r w:rsidR="00763964" w:rsidRPr="00CB69D5">
        <w:rPr>
          <w:rFonts w:ascii="Times New Roman" w:hAnsi="Times New Roman"/>
          <w:sz w:val="24"/>
          <w:szCs w:val="24"/>
        </w:rPr>
        <w:t>0</w:t>
      </w:r>
      <w:r w:rsidR="00CB69D5">
        <w:rPr>
          <w:rFonts w:ascii="Times New Roman" w:hAnsi="Times New Roman"/>
          <w:sz w:val="24"/>
          <w:szCs w:val="24"/>
          <w:lang/>
        </w:rPr>
        <w:t>6</w:t>
      </w:r>
      <w:r w:rsidR="00C47179" w:rsidRPr="00CB69D5">
        <w:rPr>
          <w:rFonts w:ascii="Times New Roman" w:hAnsi="Times New Roman"/>
          <w:sz w:val="24"/>
          <w:szCs w:val="24"/>
          <w:lang w:val="sr-Cyrl-CS"/>
        </w:rPr>
        <w:t>.202</w:t>
      </w:r>
      <w:r w:rsidR="00CB69D5">
        <w:rPr>
          <w:rFonts w:ascii="Times New Roman" w:hAnsi="Times New Roman"/>
          <w:sz w:val="24"/>
          <w:szCs w:val="24"/>
          <w:lang/>
        </w:rPr>
        <w:t>4</w:t>
      </w:r>
      <w:r w:rsidRPr="00CB69D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B69D5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CB69D5">
        <w:rPr>
          <w:rFonts w:ascii="Times New Roman" w:hAnsi="Times New Roman"/>
          <w:sz w:val="24"/>
          <w:szCs w:val="24"/>
        </w:rPr>
        <w:t>,</w:t>
      </w:r>
      <w:r w:rsidRPr="00CB69D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донело</w:t>
      </w:r>
      <w:proofErr w:type="spellEnd"/>
      <w:r w:rsidRPr="00CB6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9D5">
        <w:rPr>
          <w:rFonts w:ascii="Times New Roman" w:hAnsi="Times New Roman"/>
          <w:sz w:val="24"/>
          <w:szCs w:val="24"/>
        </w:rPr>
        <w:t>је</w:t>
      </w:r>
      <w:proofErr w:type="spellEnd"/>
      <w:r w:rsidRPr="00CB69D5">
        <w:rPr>
          <w:rFonts w:ascii="Times New Roman" w:hAnsi="Times New Roman"/>
          <w:sz w:val="24"/>
          <w:szCs w:val="24"/>
        </w:rPr>
        <w:t>:</w:t>
      </w:r>
    </w:p>
    <w:p w:rsidR="00FA6839" w:rsidRDefault="00FA6839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B69D5" w:rsidRDefault="00CB69D5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763964" w:rsidRDefault="00763964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>/ПРОГРАМА У КУЛТУРИ КОЈИ СЕ ФИНАНСИРАЈУ ИЛИ СУФИНАСИРАЈУ СРЕДСТВИМА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 w:rsidR="00D8318B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DC1342">
        <w:rPr>
          <w:rFonts w:ascii="Times New Roman" w:hAnsi="Times New Roman"/>
          <w:b/>
          <w:sz w:val="24"/>
          <w:szCs w:val="24"/>
        </w:rPr>
        <w:t>4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B69D5" w:rsidRPr="00C2360E" w:rsidRDefault="00CB69D5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763964" w:rsidRDefault="00BB43B0" w:rsidP="00530A8A">
      <w:pPr>
        <w:spacing w:line="240" w:lineRule="auto"/>
        <w:jc w:val="both"/>
        <w:rPr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>Ов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 w:rsidRPr="005F54E0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5F54E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5F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5F54E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5F54E0">
        <w:rPr>
          <w:rFonts w:ascii="Times New Roman" w:hAnsi="Times New Roman"/>
          <w:sz w:val="24"/>
          <w:szCs w:val="24"/>
        </w:rPr>
        <w:t xml:space="preserve"> о 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 w:rsidRPr="005F54E0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2</w:t>
      </w:r>
      <w:r w:rsidR="00DC1342">
        <w:rPr>
          <w:rFonts w:ascii="Times New Roman" w:hAnsi="Times New Roman"/>
          <w:sz w:val="24"/>
          <w:szCs w:val="24"/>
        </w:rPr>
        <w:t>4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 w:rsidRPr="005F54E0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</w:t>
      </w:r>
      <w:r w:rsidR="00DC1342">
        <w:rPr>
          <w:rFonts w:ascii="Times New Roman" w:hAnsi="Times New Roman"/>
          <w:sz w:val="24"/>
          <w:szCs w:val="24"/>
        </w:rPr>
        <w:t xml:space="preserve"> </w:t>
      </w:r>
      <w:r w:rsidR="00763964">
        <w:rPr>
          <w:rFonts w:ascii="Times New Roman" w:hAnsi="Times New Roman"/>
          <w:sz w:val="24"/>
          <w:szCs w:val="24"/>
          <w:lang w:val="sr-Cyrl-BA"/>
        </w:rPr>
        <w:t>2</w:t>
      </w:r>
      <w:r w:rsidR="00DC1342">
        <w:rPr>
          <w:rFonts w:ascii="Times New Roman" w:hAnsi="Times New Roman"/>
          <w:sz w:val="24"/>
          <w:szCs w:val="24"/>
        </w:rPr>
        <w:t>9</w:t>
      </w:r>
      <w:r w:rsidR="00763964">
        <w:rPr>
          <w:rFonts w:ascii="Times New Roman" w:hAnsi="Times New Roman"/>
          <w:sz w:val="24"/>
          <w:szCs w:val="24"/>
          <w:lang w:val="sr-Cyrl-BA"/>
        </w:rPr>
        <w:t>/2</w:t>
      </w:r>
      <w:r w:rsidR="00DC1342">
        <w:rPr>
          <w:rFonts w:ascii="Times New Roman" w:hAnsi="Times New Roman"/>
          <w:sz w:val="24"/>
          <w:szCs w:val="24"/>
        </w:rPr>
        <w:t>3</w:t>
      </w:r>
      <w:r w:rsidR="00220CB0" w:rsidRPr="005F54E0">
        <w:rPr>
          <w:rFonts w:ascii="Times New Roman" w:hAnsi="Times New Roman"/>
          <w:sz w:val="24"/>
          <w:szCs w:val="24"/>
          <w:lang w:val="sr-Cyrl-BA"/>
        </w:rPr>
        <w:t xml:space="preserve">), </w:t>
      </w:r>
      <w:r w:rsidR="007046EA" w:rsidRPr="005F54E0">
        <w:rPr>
          <w:rFonts w:ascii="Times New Roman" w:hAnsi="Times New Roman"/>
          <w:szCs w:val="24"/>
        </w:rPr>
        <w:t xml:space="preserve">у </w:t>
      </w:r>
      <w:proofErr w:type="spellStart"/>
      <w:r w:rsidR="007046EA" w:rsidRPr="005F54E0">
        <w:rPr>
          <w:rFonts w:ascii="Times New Roman" w:hAnsi="Times New Roman"/>
          <w:szCs w:val="24"/>
        </w:rPr>
        <w:t>укупном</w:t>
      </w:r>
      <w:proofErr w:type="spellEnd"/>
      <w:r w:rsidR="007046EA" w:rsidRPr="005F54E0">
        <w:rPr>
          <w:rFonts w:ascii="Times New Roman" w:hAnsi="Times New Roman"/>
          <w:szCs w:val="24"/>
        </w:rPr>
        <w:t xml:space="preserve"> </w:t>
      </w:r>
      <w:proofErr w:type="spellStart"/>
      <w:r w:rsidR="007046EA" w:rsidRPr="005F54E0">
        <w:rPr>
          <w:rFonts w:ascii="Times New Roman" w:hAnsi="Times New Roman"/>
          <w:szCs w:val="24"/>
        </w:rPr>
        <w:t>износу</w:t>
      </w:r>
      <w:proofErr w:type="spellEnd"/>
      <w:r w:rsidR="007046EA" w:rsidRPr="005F54E0">
        <w:rPr>
          <w:rFonts w:ascii="Times New Roman" w:hAnsi="Times New Roman"/>
          <w:szCs w:val="24"/>
        </w:rPr>
        <w:t xml:space="preserve"> </w:t>
      </w:r>
      <w:proofErr w:type="spellStart"/>
      <w:r w:rsidR="007046EA" w:rsidRPr="005F54E0">
        <w:rPr>
          <w:rFonts w:ascii="Times New Roman" w:hAnsi="Times New Roman"/>
          <w:szCs w:val="24"/>
        </w:rPr>
        <w:t>од</w:t>
      </w:r>
      <w:proofErr w:type="spellEnd"/>
      <w:r w:rsidR="005F54E0">
        <w:rPr>
          <w:rFonts w:ascii="Times New Roman" w:hAnsi="Times New Roman"/>
          <w:szCs w:val="24"/>
        </w:rPr>
        <w:t xml:space="preserve"> </w:t>
      </w:r>
      <w:r w:rsidR="00DC1342">
        <w:rPr>
          <w:szCs w:val="24"/>
        </w:rPr>
        <w:t>2</w:t>
      </w:r>
      <w:r w:rsidR="00763964" w:rsidRPr="00676BF7">
        <w:rPr>
          <w:szCs w:val="24"/>
        </w:rPr>
        <w:t>.</w:t>
      </w:r>
      <w:r w:rsidR="00DC1342">
        <w:rPr>
          <w:szCs w:val="24"/>
        </w:rPr>
        <w:t>8</w:t>
      </w:r>
      <w:r w:rsidR="00763964" w:rsidRPr="00676BF7">
        <w:rPr>
          <w:szCs w:val="24"/>
          <w:lang w:val="sr-Cyrl-BA"/>
        </w:rPr>
        <w:t>0</w:t>
      </w:r>
      <w:r w:rsidR="00763964" w:rsidRPr="00676BF7">
        <w:rPr>
          <w:szCs w:val="24"/>
        </w:rPr>
        <w:t xml:space="preserve">0.000 </w:t>
      </w:r>
      <w:proofErr w:type="spellStart"/>
      <w:r w:rsidR="00763964" w:rsidRPr="00676BF7">
        <w:rPr>
          <w:szCs w:val="24"/>
        </w:rPr>
        <w:t>динара</w:t>
      </w:r>
      <w:proofErr w:type="spellEnd"/>
      <w:r w:rsidR="00763964" w:rsidRPr="00676BF7">
        <w:rPr>
          <w:szCs w:val="24"/>
          <w:lang w:val="sr-Cyrl-BA"/>
        </w:rPr>
        <w:t>.</w:t>
      </w:r>
    </w:p>
    <w:p w:rsidR="003B33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</w:t>
      </w:r>
      <w:r w:rsidR="007639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подносиоц</w:t>
      </w:r>
      <w:r w:rsidR="00763964"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76396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 и то:</w:t>
      </w:r>
    </w:p>
    <w:tbl>
      <w:tblPr>
        <w:tblStyle w:val="TableGrid"/>
        <w:tblW w:w="10440" w:type="dxa"/>
        <w:tblInd w:w="-792" w:type="dxa"/>
        <w:tblLayout w:type="fixed"/>
        <w:tblLook w:val="04A0"/>
      </w:tblPr>
      <w:tblGrid>
        <w:gridCol w:w="10440"/>
      </w:tblGrid>
      <w:tr w:rsidR="00DC1342" w:rsidRPr="00E458CF" w:rsidTr="00B505D0">
        <w:trPr>
          <w:trHeight w:val="1149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342" w:rsidRPr="00CB69D5" w:rsidRDefault="00DC1342" w:rsidP="00CB69D5">
            <w:pPr>
              <w:rPr>
                <w:b/>
                <w:bCs/>
                <w:lang/>
              </w:rPr>
            </w:pPr>
          </w:p>
          <w:p w:rsidR="00DC1342" w:rsidRDefault="00DC1342" w:rsidP="00B505D0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607" w:type="dxa"/>
              <w:tblLayout w:type="fixed"/>
              <w:tblLook w:val="04A0"/>
            </w:tblPr>
            <w:tblGrid>
              <w:gridCol w:w="717"/>
              <w:gridCol w:w="868"/>
              <w:gridCol w:w="3702"/>
              <w:gridCol w:w="1890"/>
              <w:gridCol w:w="2430"/>
            </w:tblGrid>
            <w:tr w:rsidR="00DC1342" w:rsidTr="00B505D0">
              <w:trPr>
                <w:trHeight w:val="579"/>
              </w:trPr>
              <w:tc>
                <w:tcPr>
                  <w:tcW w:w="717" w:type="dxa"/>
                  <w:vAlign w:val="center"/>
                </w:tcPr>
                <w:p w:rsidR="00DC1342" w:rsidRPr="00FE3BC9" w:rsidRDefault="00DC1342" w:rsidP="00B505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68" w:type="dxa"/>
                  <w:vAlign w:val="center"/>
                </w:tcPr>
                <w:p w:rsidR="00DC1342" w:rsidRPr="00FE3BC9" w:rsidRDefault="00DC1342" w:rsidP="00B505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3702" w:type="dxa"/>
                  <w:vAlign w:val="center"/>
                </w:tcPr>
                <w:p w:rsidR="00DC1342" w:rsidRPr="00FE3BC9" w:rsidRDefault="00DC1342" w:rsidP="00B505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:rsidR="00DC1342" w:rsidRPr="00FE3BC9" w:rsidRDefault="00DC1342" w:rsidP="00B505D0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2430" w:type="dxa"/>
                  <w:vAlign w:val="center"/>
                </w:tcPr>
                <w:p w:rsidR="00DC1342" w:rsidRPr="00FE3BC9" w:rsidRDefault="00DC1342" w:rsidP="00B505D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</w:t>
                  </w:r>
                  <w:r>
                    <w:rPr>
                      <w:b/>
                      <w:sz w:val="16"/>
                      <w:szCs w:val="16"/>
                    </w:rPr>
                    <w:t>едложени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фина</w:t>
                  </w:r>
                  <w:r w:rsidRPr="00FE3BC9">
                    <w:rPr>
                      <w:b/>
                      <w:sz w:val="16"/>
                      <w:szCs w:val="16"/>
                    </w:rPr>
                    <w:t>нсирање</w:t>
                  </w:r>
                  <w:proofErr w:type="spellEnd"/>
                </w:p>
              </w:tc>
            </w:tr>
            <w:tr w:rsidR="00DC1342" w:rsidTr="00B505D0">
              <w:trPr>
                <w:trHeight w:val="2040"/>
              </w:trPr>
              <w:tc>
                <w:tcPr>
                  <w:tcW w:w="717" w:type="dxa"/>
                  <w:vAlign w:val="center"/>
                </w:tcPr>
                <w:p w:rsidR="00DC1342" w:rsidRPr="008F1356" w:rsidRDefault="00DC1342" w:rsidP="00B505D0">
                  <w:pPr>
                    <w:rPr>
                      <w:b/>
                      <w:lang w:val="sr-Cyrl-CS"/>
                    </w:rPr>
                  </w:pPr>
                  <w:r w:rsidRPr="008F1356">
                    <w:rPr>
                      <w:b/>
                    </w:rPr>
                    <w:t>1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68" w:type="dxa"/>
                  <w:vAlign w:val="center"/>
                </w:tcPr>
                <w:p w:rsidR="00DC1342" w:rsidRPr="00686186" w:rsidRDefault="00DC1342" w:rsidP="00B505D0">
                  <w:r>
                    <w:rPr>
                      <w:lang w:val="sr-Cyrl-CS"/>
                    </w:rPr>
                    <w:t>401-200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8F1356" w:rsidRDefault="00DC1342" w:rsidP="00B505D0">
                  <w:pPr>
                    <w:rPr>
                      <w:lang w:val="sr-Cyrl-CS"/>
                    </w:rPr>
                  </w:pPr>
                  <w:r w:rsidRPr="00A573C0">
                    <w:t>КУД „</w:t>
                  </w:r>
                  <w:proofErr w:type="spellStart"/>
                  <w:r w:rsidRPr="00A573C0">
                    <w:t>Бранислав</w:t>
                  </w:r>
                  <w:proofErr w:type="spellEnd"/>
                  <w:r w:rsidRPr="00A573C0">
                    <w:t xml:space="preserve"> </w:t>
                  </w:r>
                  <w:proofErr w:type="spellStart"/>
                  <w:r w:rsidRPr="00A573C0">
                    <w:t>Нушић</w:t>
                  </w:r>
                  <w:proofErr w:type="spellEnd"/>
                  <w:r w:rsidRPr="00A573C0">
                    <w:t xml:space="preserve"> </w:t>
                  </w:r>
                  <w:proofErr w:type="spellStart"/>
                  <w:r w:rsidRPr="00A573C0">
                    <w:t>Владичин</w:t>
                  </w:r>
                  <w:proofErr w:type="spellEnd"/>
                  <w:r w:rsidRPr="00A573C0">
                    <w:t xml:space="preserve"> </w:t>
                  </w:r>
                  <w:proofErr w:type="spellStart"/>
                  <w:r w:rsidRPr="00A573C0">
                    <w:t>Хан</w:t>
                  </w:r>
                  <w:proofErr w:type="spellEnd"/>
                  <w:r w:rsidRPr="00A573C0">
                    <w:t xml:space="preserve"> </w:t>
                  </w:r>
                  <w:r>
                    <w:t>–</w:t>
                  </w:r>
                  <w:proofErr w:type="spellStart"/>
                  <w:r>
                    <w:t>пројекат,,</w:t>
                  </w:r>
                  <w:r w:rsidRPr="00437CE0">
                    <w:t>Јачање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мултикултуралних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односа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очувањем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традиције,обичаја</w:t>
                  </w:r>
                  <w:proofErr w:type="spellEnd"/>
                  <w:r w:rsidRPr="00437CE0">
                    <w:t xml:space="preserve"> и </w:t>
                  </w:r>
                  <w:proofErr w:type="spellStart"/>
                  <w:r w:rsidRPr="00437CE0">
                    <w:t>фолклора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југа</w:t>
                  </w:r>
                  <w:proofErr w:type="spellEnd"/>
                  <w:r w:rsidRPr="00437CE0">
                    <w:t xml:space="preserve"> </w:t>
                  </w:r>
                  <w:proofErr w:type="spellStart"/>
                  <w:r w:rsidRPr="00437CE0">
                    <w:t>Србије</w:t>
                  </w:r>
                  <w:proofErr w:type="spellEnd"/>
                  <w:r>
                    <w:t>,,</w:t>
                  </w:r>
                </w:p>
              </w:tc>
              <w:tc>
                <w:tcPr>
                  <w:tcW w:w="1890" w:type="dxa"/>
                  <w:vAlign w:val="center"/>
                </w:tcPr>
                <w:p w:rsidR="00DC1342" w:rsidRPr="008F1356" w:rsidRDefault="00DC1342" w:rsidP="00B505D0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2.7</w:t>
                  </w:r>
                  <w:r w:rsidRPr="008F1356">
                    <w:rPr>
                      <w:b/>
                      <w:lang w:val="sr-Cyrl-CS"/>
                    </w:rPr>
                    <w:t>00.000,00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C1342" w:rsidRPr="008F1356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1.900.000,00</w:t>
                  </w:r>
                </w:p>
              </w:tc>
            </w:tr>
            <w:tr w:rsidR="00DC1342" w:rsidTr="00B505D0">
              <w:trPr>
                <w:trHeight w:val="1173"/>
              </w:trPr>
              <w:tc>
                <w:tcPr>
                  <w:tcW w:w="717" w:type="dxa"/>
                  <w:vAlign w:val="center"/>
                </w:tcPr>
                <w:p w:rsidR="00DC1342" w:rsidRPr="008F1356" w:rsidRDefault="00DC1342" w:rsidP="00B505D0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2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68" w:type="dxa"/>
                  <w:vAlign w:val="center"/>
                </w:tcPr>
                <w:p w:rsidR="00DC1342" w:rsidRPr="008F1356" w:rsidRDefault="00DC1342" w:rsidP="00B505D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401-191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8A7F43" w:rsidRDefault="00DC1342" w:rsidP="00B505D0">
                  <w:pPr>
                    <w:rPr>
                      <w:b/>
                      <w:lang w:val="sr-Cyrl-CS"/>
                    </w:rPr>
                  </w:pPr>
                  <w:r w:rsidRPr="008A7F43">
                    <w:rPr>
                      <w:b/>
                      <w:lang w:val="sr-Cyrl-CS"/>
                    </w:rPr>
                    <w:t>НВО</w:t>
                  </w:r>
                  <w:r>
                    <w:rPr>
                      <w:b/>
                      <w:lang w:val="sr-Cyrl-CS"/>
                    </w:rPr>
                    <w:t xml:space="preserve">  Одбор за људска права Врање</w:t>
                  </w:r>
                </w:p>
              </w:tc>
              <w:tc>
                <w:tcPr>
                  <w:tcW w:w="1890" w:type="dxa"/>
                  <w:vAlign w:val="center"/>
                </w:tcPr>
                <w:p w:rsidR="00DC1342" w:rsidRPr="008F1356" w:rsidRDefault="00DC1342" w:rsidP="00B505D0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550.000</w:t>
                  </w:r>
                  <w:r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C1342" w:rsidRPr="008F1356" w:rsidRDefault="00DC1342" w:rsidP="00B50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200.000,00</w:t>
                  </w:r>
                </w:p>
              </w:tc>
            </w:tr>
            <w:tr w:rsidR="00DC1342" w:rsidTr="00B505D0">
              <w:trPr>
                <w:trHeight w:val="1208"/>
              </w:trPr>
              <w:tc>
                <w:tcPr>
                  <w:tcW w:w="717" w:type="dxa"/>
                  <w:vAlign w:val="center"/>
                </w:tcPr>
                <w:p w:rsidR="00DC1342" w:rsidRPr="008F1356" w:rsidRDefault="00DC1342" w:rsidP="00B505D0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Pr="008F1356">
                    <w:rPr>
                      <w:b/>
                      <w:lang w:val="sr-Cyrl-CS"/>
                    </w:rPr>
                    <w:t>.</w:t>
                  </w:r>
                </w:p>
              </w:tc>
              <w:tc>
                <w:tcPr>
                  <w:tcW w:w="868" w:type="dxa"/>
                  <w:vAlign w:val="center"/>
                </w:tcPr>
                <w:p w:rsidR="00DC1342" w:rsidRPr="008F1356" w:rsidRDefault="00DC1342" w:rsidP="00B505D0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401-191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69273A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,,</w:t>
                  </w:r>
                  <w:r w:rsidRPr="0069273A">
                    <w:rPr>
                      <w:b/>
                      <w:lang w:val="sr-Cyrl-CS"/>
                    </w:rPr>
                    <w:t>СУБНОР Владичин Хан</w:t>
                  </w:r>
                  <w:r>
                    <w:rPr>
                      <w:b/>
                    </w:rPr>
                    <w:t>,,</w:t>
                  </w:r>
                </w:p>
                <w:p w:rsidR="00DC1342" w:rsidRPr="008F1356" w:rsidRDefault="00DC1342" w:rsidP="00B505D0">
                  <w:pPr>
                    <w:rPr>
                      <w:lang w:val="sr-Cyrl-CS"/>
                    </w:rPr>
                  </w:pPr>
                  <w:r w:rsidRPr="0069273A">
                    <w:rPr>
                      <w:lang w:val="sr-Cyrl-CS"/>
                    </w:rPr>
                    <w:t xml:space="preserve">пројекат </w:t>
                  </w:r>
                  <w:r w:rsidRPr="008F1356">
                    <w:rPr>
                      <w:lang w:val="sr-Cyrl-CS"/>
                    </w:rPr>
                    <w:t>„</w:t>
                  </w:r>
                  <w:r w:rsidRPr="0089292C">
                    <w:rPr>
                      <w:lang w:val="sr-Cyrl-CS"/>
                    </w:rPr>
                    <w:t xml:space="preserve"> Неговање традиција ослободилачких ратова Србије и општине Владичин Хан“</w:t>
                  </w:r>
                  <w:r w:rsidRPr="00525A60">
                    <w:rPr>
                      <w:lang w:val="sr-Cyrl-CS"/>
                    </w:rPr>
                    <w:t>,</w:t>
                  </w:r>
                </w:p>
              </w:tc>
              <w:tc>
                <w:tcPr>
                  <w:tcW w:w="1890" w:type="dxa"/>
                  <w:vAlign w:val="center"/>
                </w:tcPr>
                <w:p w:rsidR="00DC1342" w:rsidRPr="008F1356" w:rsidRDefault="00DC1342" w:rsidP="00B505D0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450.000</w:t>
                  </w:r>
                  <w:r w:rsidRPr="008F1356"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C1342" w:rsidRPr="00F22C9C" w:rsidRDefault="00DC1342" w:rsidP="00B50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300.000,00</w:t>
                  </w:r>
                </w:p>
              </w:tc>
            </w:tr>
            <w:tr w:rsidR="00DC1342" w:rsidTr="00B505D0">
              <w:trPr>
                <w:trHeight w:val="1463"/>
              </w:trPr>
              <w:tc>
                <w:tcPr>
                  <w:tcW w:w="717" w:type="dxa"/>
                  <w:tcBorders>
                    <w:bottom w:val="single" w:sz="4" w:space="0" w:color="auto"/>
                  </w:tcBorders>
                  <w:vAlign w:val="center"/>
                </w:tcPr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Pr="00A0401F" w:rsidRDefault="00DC1342" w:rsidP="00B505D0">
                  <w:pPr>
                    <w:rPr>
                      <w:b/>
                    </w:rPr>
                  </w:pPr>
                </w:p>
              </w:tc>
              <w:tc>
                <w:tcPr>
                  <w:tcW w:w="868" w:type="dxa"/>
                  <w:tcBorders>
                    <w:bottom w:val="single" w:sz="4" w:space="0" w:color="auto"/>
                  </w:tcBorders>
                  <w:vAlign w:val="center"/>
                </w:tcPr>
                <w:p w:rsidR="00DC1342" w:rsidRPr="00910F93" w:rsidRDefault="00DC1342" w:rsidP="00B505D0">
                  <w:r>
                    <w:t>401-199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69273A" w:rsidRDefault="00DC1342" w:rsidP="00B505D0">
                  <w:pPr>
                    <w:rPr>
                      <w:b/>
                    </w:rPr>
                  </w:pPr>
                  <w:r w:rsidRPr="0069273A">
                    <w:rPr>
                      <w:b/>
                      <w:lang w:val="sr-Cyrl-CS"/>
                    </w:rPr>
                    <w:t>Удружење,,</w:t>
                  </w:r>
                  <w:r>
                    <w:rPr>
                      <w:b/>
                      <w:lang w:val="sr-Cyrl-CS"/>
                    </w:rPr>
                    <w:t>Матерња мелодија</w:t>
                  </w:r>
                  <w:r w:rsidRPr="0069273A">
                    <w:rPr>
                      <w:b/>
                      <w:lang w:val="sr-Cyrl-CS"/>
                    </w:rPr>
                    <w:t>,,Владичин Хан</w:t>
                  </w:r>
                </w:p>
                <w:p w:rsidR="00DC1342" w:rsidRPr="008F1356" w:rsidRDefault="00DC1342" w:rsidP="00B505D0">
                  <w:pPr>
                    <w:rPr>
                      <w:lang w:val="sr-Cyrl-CS"/>
                    </w:rPr>
                  </w:pPr>
                  <w:r w:rsidRPr="0069273A">
                    <w:rPr>
                      <w:lang w:val="sr-Cyrl-CS"/>
                    </w:rPr>
                    <w:t>пројекат</w:t>
                  </w:r>
                  <w:r w:rsidRPr="00525A60">
                    <w:rPr>
                      <w:lang w:val="sr-Cyrl-CS"/>
                    </w:rPr>
                    <w:t xml:space="preserve">,, </w:t>
                  </w:r>
                  <w:r>
                    <w:rPr>
                      <w:lang w:val="sr-Cyrl-CS"/>
                    </w:rPr>
                    <w:t>Градски хор-</w:t>
                  </w:r>
                  <w:proofErr w:type="spellStart"/>
                  <w:r>
                    <w:rPr>
                      <w:lang w:val="sr-Cyrl-CS"/>
                    </w:rPr>
                    <w:t>Матрења</w:t>
                  </w:r>
                  <w:proofErr w:type="spellEnd"/>
                  <w:r>
                    <w:rPr>
                      <w:lang w:val="sr-Cyrl-CS"/>
                    </w:rPr>
                    <w:t xml:space="preserve"> мелодија</w:t>
                  </w:r>
                  <w:r w:rsidRPr="00525A60">
                    <w:rPr>
                      <w:lang w:val="sr-Cyrl-CS"/>
                    </w:rPr>
                    <w:t>“</w:t>
                  </w:r>
                </w:p>
              </w:tc>
              <w:tc>
                <w:tcPr>
                  <w:tcW w:w="1890" w:type="dxa"/>
                  <w:vAlign w:val="center"/>
                </w:tcPr>
                <w:p w:rsidR="00DC1342" w:rsidRPr="008F1356" w:rsidRDefault="00DC1342" w:rsidP="00B505D0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173.0</w:t>
                  </w:r>
                  <w:r w:rsidRPr="00A0401F">
                    <w:rPr>
                      <w:b/>
                      <w:lang w:val="sr-Cyrl-CS"/>
                    </w:rPr>
                    <w:t>00,00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C1342" w:rsidRPr="003E10C3" w:rsidRDefault="00DC1342" w:rsidP="00B50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80.000,00</w:t>
                  </w:r>
                </w:p>
              </w:tc>
            </w:tr>
            <w:tr w:rsidR="00DC1342" w:rsidRPr="00525A60" w:rsidTr="00B505D0">
              <w:trPr>
                <w:trHeight w:val="2354"/>
              </w:trPr>
              <w:tc>
                <w:tcPr>
                  <w:tcW w:w="717" w:type="dxa"/>
                  <w:vAlign w:val="center"/>
                </w:tcPr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5.</w:t>
                  </w:r>
                </w:p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Default="00DC1342" w:rsidP="00B505D0">
                  <w:pPr>
                    <w:rPr>
                      <w:b/>
                    </w:rPr>
                  </w:pPr>
                </w:p>
                <w:p w:rsidR="00DC1342" w:rsidRPr="00A0401F" w:rsidRDefault="00DC1342" w:rsidP="00B505D0">
                  <w:pPr>
                    <w:rPr>
                      <w:b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DC1342" w:rsidRPr="00910F93" w:rsidRDefault="00DC1342" w:rsidP="00B505D0">
                  <w:r>
                    <w:t>401-201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297A85" w:rsidRDefault="00DC1342" w:rsidP="00B505D0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Бранислав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Марковић</w:t>
                  </w:r>
                  <w:proofErr w:type="spellEnd"/>
                </w:p>
                <w:p w:rsidR="00DC1342" w:rsidRPr="00686186" w:rsidRDefault="00DC1342" w:rsidP="00B505D0">
                  <w:proofErr w:type="spellStart"/>
                  <w:r w:rsidRPr="0069273A">
                    <w:t>пројекат</w:t>
                  </w:r>
                  <w:proofErr w:type="spellEnd"/>
                  <w:r w:rsidRPr="0069273A">
                    <w:t xml:space="preserve"> </w:t>
                  </w:r>
                  <w:r w:rsidRPr="0089292C">
                    <w:t xml:space="preserve">„ </w:t>
                  </w:r>
                  <w:proofErr w:type="spellStart"/>
                  <w:r>
                    <w:t>Књига-Одабрани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позоришни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комади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сценарија</w:t>
                  </w:r>
                  <w:proofErr w:type="spellEnd"/>
                  <w:r w:rsidRPr="0089292C">
                    <w:t>“</w:t>
                  </w:r>
                </w:p>
              </w:tc>
              <w:tc>
                <w:tcPr>
                  <w:tcW w:w="1890" w:type="dxa"/>
                  <w:vAlign w:val="center"/>
                </w:tcPr>
                <w:p w:rsidR="00DC1342" w:rsidRPr="008F1356" w:rsidRDefault="00DC1342" w:rsidP="00B505D0">
                  <w:pPr>
                    <w:jc w:val="right"/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976.250</w:t>
                  </w:r>
                  <w:r w:rsidRPr="00A0401F"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200.000,00</w:t>
                  </w: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Pr="00707C25" w:rsidRDefault="00DC1342" w:rsidP="00B505D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C1342" w:rsidRPr="00525A60" w:rsidTr="00B505D0">
              <w:trPr>
                <w:trHeight w:val="860"/>
              </w:trPr>
              <w:tc>
                <w:tcPr>
                  <w:tcW w:w="717" w:type="dxa"/>
                  <w:vAlign w:val="center"/>
                </w:tcPr>
                <w:p w:rsidR="00DC1342" w:rsidRPr="00707C25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6.</w:t>
                  </w:r>
                </w:p>
              </w:tc>
              <w:tc>
                <w:tcPr>
                  <w:tcW w:w="868" w:type="dxa"/>
                  <w:vAlign w:val="center"/>
                </w:tcPr>
                <w:p w:rsidR="00DC1342" w:rsidRPr="00707C25" w:rsidRDefault="00DC1342" w:rsidP="00B505D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401-194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7E013B" w:rsidRDefault="00DC1342" w:rsidP="00B505D0">
                  <w:pPr>
                    <w:rPr>
                      <w:b/>
                      <w:lang/>
                    </w:rPr>
                  </w:pPr>
                  <w:proofErr w:type="spellStart"/>
                  <w:r>
                    <w:rPr>
                      <w:b/>
                    </w:rPr>
                    <w:t>Удружење</w:t>
                  </w:r>
                  <w:proofErr w:type="spellEnd"/>
                  <w:r>
                    <w:rPr>
                      <w:b/>
                    </w:rPr>
                    <w:t xml:space="preserve"> ,,OVERLOAD,,  </w:t>
                  </w:r>
                  <w:proofErr w:type="spellStart"/>
                  <w:r>
                    <w:rPr>
                      <w:b/>
                    </w:rPr>
                    <w:t>Развој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културног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стваралаштва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Ромске</w:t>
                  </w:r>
                  <w:proofErr w:type="spellEnd"/>
                  <w:r w:rsidR="007E013B">
                    <w:rPr>
                      <w:b/>
                      <w:lang/>
                    </w:rPr>
                    <w:t xml:space="preserve"> популације</w:t>
                  </w:r>
                </w:p>
              </w:tc>
              <w:tc>
                <w:tcPr>
                  <w:tcW w:w="1890" w:type="dxa"/>
                  <w:vAlign w:val="center"/>
                </w:tcPr>
                <w:p w:rsidR="00DC1342" w:rsidRDefault="00DC1342" w:rsidP="00B505D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200.000,00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70.000,00</w:t>
                  </w:r>
                </w:p>
              </w:tc>
            </w:tr>
            <w:tr w:rsidR="00DC1342" w:rsidRPr="00525A60" w:rsidTr="00B505D0">
              <w:trPr>
                <w:trHeight w:val="716"/>
              </w:trPr>
              <w:tc>
                <w:tcPr>
                  <w:tcW w:w="717" w:type="dxa"/>
                  <w:vAlign w:val="center"/>
                </w:tcPr>
                <w:p w:rsidR="00DC1342" w:rsidRPr="00707C25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7.</w:t>
                  </w:r>
                </w:p>
              </w:tc>
              <w:tc>
                <w:tcPr>
                  <w:tcW w:w="868" w:type="dxa"/>
                  <w:vAlign w:val="center"/>
                </w:tcPr>
                <w:p w:rsidR="00DC1342" w:rsidRPr="00707C25" w:rsidRDefault="00DC1342" w:rsidP="00B505D0">
                  <w:r>
                    <w:t>401-212</w:t>
                  </w:r>
                </w:p>
              </w:tc>
              <w:tc>
                <w:tcPr>
                  <w:tcW w:w="3702" w:type="dxa"/>
                  <w:vAlign w:val="center"/>
                </w:tcPr>
                <w:p w:rsidR="00DC1342" w:rsidRPr="00707C25" w:rsidRDefault="00DC1342" w:rsidP="00B505D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ГЕНЕРАТОР-ВРАЊЕ, И </w:t>
                  </w:r>
                  <w:proofErr w:type="spellStart"/>
                  <w:r>
                    <w:rPr>
                      <w:b/>
                    </w:rPr>
                    <w:t>девојчице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свирају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трубу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:rsidR="00DC1342" w:rsidRDefault="00DC1342" w:rsidP="00B505D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568.500,00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  <w:vAlign w:val="center"/>
                </w:tcPr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50.000,00</w:t>
                  </w:r>
                </w:p>
                <w:p w:rsidR="00DC1342" w:rsidRDefault="00DC1342" w:rsidP="00B505D0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DC1342" w:rsidRPr="00707C25" w:rsidRDefault="00DC1342" w:rsidP="00B505D0">
            <w:pPr>
              <w:jc w:val="center"/>
              <w:rPr>
                <w:b/>
              </w:rPr>
            </w:pPr>
          </w:p>
        </w:tc>
      </w:tr>
    </w:tbl>
    <w:p w:rsidR="00DC1342" w:rsidRDefault="00DC1342" w:rsidP="00DC1342">
      <w:pPr>
        <w:jc w:val="both"/>
        <w:rPr>
          <w:b/>
        </w:rPr>
      </w:pPr>
    </w:p>
    <w:p w:rsidR="00C73B13" w:rsidRPr="00FA6839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03" w:rsidRDefault="00C42CDF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031208">
        <w:rPr>
          <w:rFonts w:ascii="Times New Roman" w:hAnsi="Times New Roman"/>
          <w:sz w:val="24"/>
          <w:szCs w:val="24"/>
          <w:lang w:val="sr-Cyrl-CS"/>
        </w:rPr>
        <w:t>лац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3B338A">
        <w:rPr>
          <w:rFonts w:ascii="Times New Roman" w:hAnsi="Times New Roman"/>
          <w:sz w:val="24"/>
          <w:szCs w:val="24"/>
          <w:lang w:val="sr-Cyrl-CS"/>
        </w:rPr>
        <w:t xml:space="preserve">ог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пројекта обавез</w:t>
      </w:r>
      <w:r w:rsidR="003B338A">
        <w:rPr>
          <w:rFonts w:ascii="Times New Roman" w:hAnsi="Times New Roman"/>
          <w:sz w:val="24"/>
          <w:szCs w:val="24"/>
          <w:lang w:val="sr-Cyrl-CS"/>
        </w:rPr>
        <w:t>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5F03">
        <w:rPr>
          <w:rFonts w:ascii="Times New Roman" w:hAnsi="Times New Roman"/>
          <w:sz w:val="24"/>
          <w:szCs w:val="24"/>
          <w:lang w:val="sr-Cyrl-CS"/>
        </w:rPr>
        <w:t>је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осам дана од дана пријема ов</w:t>
      </w:r>
      <w:r w:rsidR="00031208">
        <w:rPr>
          <w:rFonts w:ascii="Times New Roman" w:hAnsi="Times New Roman"/>
          <w:sz w:val="24"/>
          <w:szCs w:val="24"/>
          <w:lang w:val="sr-Cyrl-CS"/>
        </w:rPr>
        <w:t>ог решења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, достав</w:t>
      </w:r>
      <w:r w:rsidR="00031208">
        <w:rPr>
          <w:rFonts w:ascii="Times New Roman" w:hAnsi="Times New Roman"/>
          <w:sz w:val="24"/>
          <w:szCs w:val="24"/>
          <w:lang w:val="sr-Cyrl-CS"/>
        </w:rPr>
        <w:t>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сукуба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</w:t>
      </w:r>
      <w:r w:rsidR="00A75F03">
        <w:rPr>
          <w:rFonts w:ascii="Times New Roman" w:hAnsi="Times New Roman"/>
          <w:sz w:val="24"/>
          <w:szCs w:val="24"/>
          <w:lang w:val="sr-Cyrl-CS"/>
        </w:rPr>
        <w:t>, као и да приликом потписивања овог уговора Одељењу за привреду и финансије достави једну бланко соло меницу која је уписана у Регистар Народне банке Србије и менично овлашћење, као инструмент обезбеђења извршења уговорне обавезе</w:t>
      </w:r>
      <w:r w:rsidR="00A75F03" w:rsidRPr="008020EE">
        <w:rPr>
          <w:rFonts w:ascii="Times New Roman" w:hAnsi="Times New Roman"/>
          <w:sz w:val="24"/>
          <w:szCs w:val="24"/>
          <w:lang w:val="sr-Cyrl-CS"/>
        </w:rPr>
        <w:t>.</w:t>
      </w:r>
    </w:p>
    <w:p w:rsidR="00A067D3" w:rsidRDefault="00A75F03" w:rsidP="00A067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65E7">
        <w:rPr>
          <w:rFonts w:ascii="Times New Roman" w:hAnsi="Times New Roman"/>
          <w:sz w:val="24"/>
          <w:szCs w:val="24"/>
        </w:rPr>
        <w:t>Удружење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пре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уговора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65E7">
        <w:rPr>
          <w:rFonts w:ascii="Times New Roman" w:hAnsi="Times New Roman"/>
          <w:sz w:val="24"/>
          <w:szCs w:val="24"/>
        </w:rPr>
        <w:t>отвори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посебан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наменски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рачун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код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Управе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за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трезор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65E7">
        <w:rPr>
          <w:rFonts w:ascii="Times New Roman" w:hAnsi="Times New Roman"/>
          <w:sz w:val="24"/>
          <w:szCs w:val="24"/>
        </w:rPr>
        <w:t>како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би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се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буџетска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за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од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јавног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пренела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на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тај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рачун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65E7">
        <w:rPr>
          <w:rFonts w:ascii="Times New Roman" w:hAnsi="Times New Roman"/>
          <w:sz w:val="24"/>
          <w:szCs w:val="24"/>
        </w:rPr>
        <w:t>користила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са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тог</w:t>
      </w:r>
      <w:proofErr w:type="spellEnd"/>
      <w:r w:rsidRPr="00AD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5E7">
        <w:rPr>
          <w:rFonts w:ascii="Times New Roman" w:hAnsi="Times New Roman"/>
          <w:sz w:val="24"/>
          <w:szCs w:val="24"/>
        </w:rPr>
        <w:t>рачуна</w:t>
      </w:r>
      <w:proofErr w:type="spellEnd"/>
      <w:r w:rsidRPr="00AD65E7">
        <w:rPr>
          <w:rFonts w:ascii="Times New Roman" w:hAnsi="Times New Roman"/>
          <w:sz w:val="24"/>
          <w:szCs w:val="24"/>
        </w:rPr>
        <w:t>.</w:t>
      </w:r>
      <w:proofErr w:type="gramEnd"/>
    </w:p>
    <w:p w:rsidR="00A75F03" w:rsidRPr="00A067D3" w:rsidRDefault="00A75F03" w:rsidP="00A067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Након достављања </w:t>
      </w:r>
      <w:r>
        <w:rPr>
          <w:rFonts w:ascii="Times New Roman" w:hAnsi="Times New Roman"/>
          <w:sz w:val="24"/>
          <w:szCs w:val="24"/>
          <w:lang w:val="sr-Cyrl-CS"/>
        </w:rPr>
        <w:t>наведене документације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закључиће се уговор о финансирању .</w:t>
      </w:r>
    </w:p>
    <w:p w:rsidR="00031208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>
        <w:rPr>
          <w:rFonts w:ascii="Times New Roman" w:hAnsi="Times New Roman"/>
          <w:sz w:val="24"/>
          <w:szCs w:val="24"/>
          <w:lang w:val="sr-Cyrl-CS"/>
        </w:rPr>
        <w:t xml:space="preserve">к </w:t>
      </w:r>
      <w:r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>
        <w:rPr>
          <w:rFonts w:ascii="Times New Roman" w:hAnsi="Times New Roman"/>
          <w:sz w:val="24"/>
          <w:szCs w:val="24"/>
          <w:lang w:val="sr-Cyrl-CS"/>
        </w:rPr>
        <w:t xml:space="preserve">ан је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да у року од 15 дана по завршетку програма односно пројекта за који су додељена буџетска средства, а најкасније </w:t>
      </w:r>
      <w:r>
        <w:rPr>
          <w:rFonts w:ascii="Times New Roman" w:hAnsi="Times New Roman"/>
          <w:sz w:val="24"/>
          <w:szCs w:val="24"/>
          <w:lang w:val="sr-Cyrl-CS"/>
        </w:rPr>
        <w:t>30 дана по истеку трајања пројекта,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020EE">
        <w:rPr>
          <w:rFonts w:ascii="Times New Roman" w:hAnsi="Times New Roman"/>
          <w:sz w:val="24"/>
          <w:szCs w:val="24"/>
          <w:lang w:val="sr-Cyrl-CS"/>
        </w:rPr>
        <w:t>подн</w:t>
      </w:r>
      <w:proofErr w:type="spellEnd"/>
      <w:r w:rsidR="006F4FBD">
        <w:rPr>
          <w:rFonts w:ascii="Times New Roman" w:hAnsi="Times New Roman"/>
          <w:sz w:val="24"/>
          <w:szCs w:val="24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програма и пројеката и достави доказе о наменском коришћењу финансијских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A067D3">
        <w:rPr>
          <w:rFonts w:ascii="Times New Roman" w:hAnsi="Times New Roman"/>
          <w:sz w:val="24"/>
          <w:szCs w:val="24"/>
          <w:lang w:val="sr-Cyrl-CS"/>
        </w:rPr>
        <w:t xml:space="preserve">Комисији 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031208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избор пројекта/програма у култури који се финансирају или </w:t>
      </w:r>
      <w:proofErr w:type="spellStart"/>
      <w:r w:rsidR="00031208"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="00031208"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</w:t>
      </w:r>
    </w:p>
    <w:p w:rsidR="00A75F03" w:rsidRPr="007E013B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E013B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5. </w:t>
      </w:r>
      <w:r w:rsidRPr="007E013B">
        <w:rPr>
          <w:sz w:val="24"/>
          <w:szCs w:val="24"/>
          <w:lang w:val="sr-Cyrl-CS"/>
        </w:rPr>
        <w:t xml:space="preserve"> 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 xml:space="preserve">Решење </w:t>
      </w:r>
      <w:r w:rsidRPr="007E013B">
        <w:rPr>
          <w:rFonts w:ascii="Times New Roman" w:hAnsi="Times New Roman"/>
          <w:sz w:val="24"/>
          <w:szCs w:val="24"/>
          <w:lang w:val="sr-Cyrl-CS"/>
        </w:rPr>
        <w:t>ступа на снагу даном доношења и ист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о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објавити на огласној табли </w:t>
      </w:r>
      <w:proofErr w:type="spellStart"/>
      <w:r w:rsidRPr="007E013B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Pr="007E013B">
        <w:rPr>
          <w:rFonts w:ascii="Times New Roman" w:hAnsi="Times New Roman"/>
          <w:sz w:val="24"/>
          <w:szCs w:val="24"/>
        </w:rPr>
        <w:t>e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E013B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Pr="007E013B">
        <w:rPr>
          <w:rFonts w:ascii="Times New Roman" w:hAnsi="Times New Roman"/>
          <w:sz w:val="24"/>
          <w:szCs w:val="24"/>
        </w:rPr>
        <w:t>e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A75F03" w:rsidRPr="007E013B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5F03" w:rsidRPr="007E013B" w:rsidRDefault="00A75F03" w:rsidP="00A75F03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E01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013B"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Решење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доставити: Подноси</w:t>
      </w:r>
      <w:r w:rsidR="006F4FBD" w:rsidRPr="007E013B">
        <w:rPr>
          <w:rFonts w:ascii="Times New Roman" w:hAnsi="Times New Roman"/>
          <w:sz w:val="24"/>
          <w:szCs w:val="24"/>
          <w:lang w:val="sr-Cyrl-CS"/>
        </w:rPr>
        <w:t>оц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има</w:t>
      </w:r>
      <w:r w:rsidRPr="007E013B">
        <w:rPr>
          <w:rFonts w:ascii="Times New Roman" w:hAnsi="Times New Roman"/>
          <w:sz w:val="24"/>
          <w:szCs w:val="24"/>
          <w:lang w:val="sr-Cyrl-CS"/>
        </w:rPr>
        <w:t xml:space="preserve"> пројек</w:t>
      </w:r>
      <w:r w:rsidR="00A067D3" w:rsidRPr="007E013B">
        <w:rPr>
          <w:rFonts w:ascii="Times New Roman" w:hAnsi="Times New Roman"/>
          <w:sz w:val="24"/>
          <w:szCs w:val="24"/>
          <w:lang w:val="sr-Cyrl-CS"/>
        </w:rPr>
        <w:t>а</w:t>
      </w:r>
      <w:r w:rsidRPr="007E013B">
        <w:rPr>
          <w:rFonts w:ascii="Times New Roman" w:hAnsi="Times New Roman"/>
          <w:sz w:val="24"/>
          <w:szCs w:val="24"/>
          <w:lang w:val="sr-Cyrl-CS"/>
        </w:rPr>
        <w:t>та, председнику Комисиј</w:t>
      </w:r>
      <w:r w:rsidR="000B0089" w:rsidRPr="007E013B">
        <w:rPr>
          <w:rFonts w:ascii="Times New Roman" w:hAnsi="Times New Roman"/>
          <w:sz w:val="24"/>
          <w:szCs w:val="24"/>
          <w:lang w:val="sr-Cyrl-CS"/>
        </w:rPr>
        <w:t>е</w:t>
      </w:r>
      <w:r w:rsidRPr="007E013B">
        <w:rPr>
          <w:rFonts w:ascii="Times New Roman" w:hAnsi="Times New Roman"/>
          <w:sz w:val="24"/>
          <w:szCs w:val="24"/>
          <w:lang w:val="sr-Cyrl-CS"/>
        </w:rPr>
        <w:t>, Одељењу за финансије и привреду Општине Владичин Хан и архиви.</w:t>
      </w:r>
    </w:p>
    <w:p w:rsidR="007E013B" w:rsidRPr="007E013B" w:rsidRDefault="007E013B" w:rsidP="007E013B">
      <w:pPr>
        <w:tabs>
          <w:tab w:val="left" w:pos="1800"/>
          <w:tab w:val="left" w:pos="6390"/>
        </w:tabs>
        <w:ind w:firstLine="7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:rsidR="00A75F03" w:rsidRPr="007E013B" w:rsidRDefault="0072339B" w:rsidP="007E013B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7E013B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7E013B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Ово решење је </w:t>
      </w:r>
      <w:proofErr w:type="spellStart"/>
      <w:r w:rsidRPr="007E013B">
        <w:rPr>
          <w:rFonts w:ascii="Times New Roman" w:eastAsiaTheme="minorHAnsi" w:hAnsi="Times New Roman"/>
          <w:bCs/>
          <w:sz w:val="24"/>
          <w:szCs w:val="24"/>
          <w:lang w:val="sr-Cyrl-CS"/>
        </w:rPr>
        <w:t>коначно.Против</w:t>
      </w:r>
      <w:proofErr w:type="spellEnd"/>
      <w:r w:rsidRPr="007E013B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истог може се покренути управни  спор пред Управним судом у Београду, у року од 30 дана од дана достављања решења.</w:t>
      </w:r>
    </w:p>
    <w:p w:rsidR="007E013B" w:rsidRPr="007E013B" w:rsidRDefault="007E013B" w:rsidP="007E013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A75F03" w:rsidRPr="00526268" w:rsidRDefault="00A75F03" w:rsidP="00A75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A75F03" w:rsidRPr="00A067D3" w:rsidRDefault="00A75F03" w:rsidP="00A06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>06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B69D5">
        <w:rPr>
          <w:rFonts w:ascii="Times New Roman" w:hAnsi="Times New Roman"/>
          <w:b/>
          <w:sz w:val="24"/>
          <w:szCs w:val="24"/>
        </w:rPr>
        <w:t>69</w:t>
      </w:r>
      <w:r w:rsidR="00763964">
        <w:rPr>
          <w:rFonts w:ascii="Times New Roman" w:hAnsi="Times New Roman"/>
          <w:b/>
          <w:sz w:val="24"/>
          <w:szCs w:val="24"/>
        </w:rPr>
        <w:t>/1/2</w:t>
      </w:r>
      <w:r w:rsidR="00CB69D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A75F03" w:rsidRDefault="00A75F03" w:rsidP="00A75F03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ПРЕДСЕДНИК</w:t>
      </w:r>
    </w:p>
    <w:p w:rsidR="00A74222" w:rsidRPr="00A3763D" w:rsidRDefault="00A75F03" w:rsidP="00A3763D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A067D3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="00A06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67D3"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sectPr w:rsidR="00A74222" w:rsidRPr="00A3763D" w:rsidSect="00FA683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1208"/>
    <w:rsid w:val="00036DC2"/>
    <w:rsid w:val="000472E9"/>
    <w:rsid w:val="000604C1"/>
    <w:rsid w:val="000933EF"/>
    <w:rsid w:val="000936AE"/>
    <w:rsid w:val="00094886"/>
    <w:rsid w:val="000B0089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91FC0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C57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B338A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0C98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5F54E0"/>
    <w:rsid w:val="00606165"/>
    <w:rsid w:val="0060663D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4AEC"/>
    <w:rsid w:val="006A64C6"/>
    <w:rsid w:val="006B0DB2"/>
    <w:rsid w:val="006D0C66"/>
    <w:rsid w:val="006D1335"/>
    <w:rsid w:val="006E268A"/>
    <w:rsid w:val="006F4FBD"/>
    <w:rsid w:val="007046EA"/>
    <w:rsid w:val="00713A70"/>
    <w:rsid w:val="0072339B"/>
    <w:rsid w:val="0072517E"/>
    <w:rsid w:val="007258F6"/>
    <w:rsid w:val="00750498"/>
    <w:rsid w:val="007537DD"/>
    <w:rsid w:val="00763964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013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74C69"/>
    <w:rsid w:val="009846BD"/>
    <w:rsid w:val="00992DEB"/>
    <w:rsid w:val="009C6C04"/>
    <w:rsid w:val="009D00E0"/>
    <w:rsid w:val="009E6DA2"/>
    <w:rsid w:val="009F0D19"/>
    <w:rsid w:val="00A037C9"/>
    <w:rsid w:val="00A04B59"/>
    <w:rsid w:val="00A067D3"/>
    <w:rsid w:val="00A142A1"/>
    <w:rsid w:val="00A2696B"/>
    <w:rsid w:val="00A33B39"/>
    <w:rsid w:val="00A3763D"/>
    <w:rsid w:val="00A5240C"/>
    <w:rsid w:val="00A567DB"/>
    <w:rsid w:val="00A57D1E"/>
    <w:rsid w:val="00A61105"/>
    <w:rsid w:val="00A621C9"/>
    <w:rsid w:val="00A64418"/>
    <w:rsid w:val="00A6576E"/>
    <w:rsid w:val="00A74222"/>
    <w:rsid w:val="00A75833"/>
    <w:rsid w:val="00A75F03"/>
    <w:rsid w:val="00A81F79"/>
    <w:rsid w:val="00A823AB"/>
    <w:rsid w:val="00A848BE"/>
    <w:rsid w:val="00AC7002"/>
    <w:rsid w:val="00AD3286"/>
    <w:rsid w:val="00B071E6"/>
    <w:rsid w:val="00B2090F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0E81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B69D5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67668"/>
    <w:rsid w:val="00D77A00"/>
    <w:rsid w:val="00D8318B"/>
    <w:rsid w:val="00DC048C"/>
    <w:rsid w:val="00DC1342"/>
    <w:rsid w:val="00DD39F8"/>
    <w:rsid w:val="00E022D2"/>
    <w:rsid w:val="00E05B46"/>
    <w:rsid w:val="00E06004"/>
    <w:rsid w:val="00E06C43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7663D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56EDB"/>
    <w:rsid w:val="00FA43BC"/>
    <w:rsid w:val="00FA6839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64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65EF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5E7E-7711-4B37-A7C6-1A51FA1A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PCKR</cp:lastModifiedBy>
  <cp:revision>5</cp:revision>
  <cp:lastPrinted>2024-06-17T12:16:00Z</cp:lastPrinted>
  <dcterms:created xsi:type="dcterms:W3CDTF">2024-06-17T12:15:00Z</dcterms:created>
  <dcterms:modified xsi:type="dcterms:W3CDTF">2024-06-17T12:26:00Z</dcterms:modified>
</cp:coreProperties>
</file>